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E7311" w14:textId="5349A6F4" w:rsidR="002F374E" w:rsidRDefault="009D6A10">
      <w:pPr>
        <w:pStyle w:val="Header"/>
        <w:tabs>
          <w:tab w:val="right" w:pos="9639"/>
        </w:tabs>
        <w:jc w:val="both"/>
        <w:rPr>
          <w:rFonts w:cs="Arial"/>
          <w:i/>
          <w:iCs/>
          <w:sz w:val="24"/>
          <w:szCs w:val="24"/>
        </w:rPr>
      </w:pPr>
      <w:bookmarkStart w:id="0" w:name="_Hlk519580081"/>
      <w:bookmarkStart w:id="1" w:name="_Hlk35868692"/>
      <w:r>
        <w:rPr>
          <w:rFonts w:cs="Arial"/>
          <w:sz w:val="24"/>
          <w:szCs w:val="24"/>
        </w:rPr>
        <w:t>3GPP TSG-RAN WG3 Meeting #107-bis-e</w:t>
      </w:r>
      <w:r>
        <w:rPr>
          <w:rFonts w:cs="Arial"/>
          <w:bCs/>
          <w:sz w:val="24"/>
          <w:szCs w:val="24"/>
        </w:rPr>
        <w:tab/>
      </w:r>
      <w:r>
        <w:rPr>
          <w:rFonts w:cs="Arial"/>
          <w:sz w:val="24"/>
          <w:szCs w:val="24"/>
        </w:rPr>
        <w:t>R3-202501</w:t>
      </w:r>
    </w:p>
    <w:bookmarkEnd w:id="0"/>
    <w:p w14:paraId="64413508" w14:textId="77777777" w:rsidR="002F374E" w:rsidRDefault="009D6A10">
      <w:pPr>
        <w:pStyle w:val="Header"/>
        <w:tabs>
          <w:tab w:val="left" w:pos="2410"/>
        </w:tabs>
        <w:rPr>
          <w:rFonts w:eastAsia="MS Mincho" w:cs="Arial"/>
          <w:sz w:val="24"/>
          <w:szCs w:val="24"/>
        </w:rPr>
      </w:pPr>
      <w:r>
        <w:rPr>
          <w:rFonts w:eastAsia="MS Mincho" w:cs="Arial"/>
          <w:sz w:val="24"/>
          <w:szCs w:val="24"/>
        </w:rPr>
        <w:t>E-meeting, 20-30 Apr 2020</w:t>
      </w:r>
    </w:p>
    <w:p w14:paraId="349C5670" w14:textId="77777777" w:rsidR="002F374E" w:rsidRDefault="002F374E">
      <w:pPr>
        <w:pStyle w:val="Header"/>
        <w:tabs>
          <w:tab w:val="left" w:pos="2410"/>
        </w:tabs>
        <w:rPr>
          <w:sz w:val="24"/>
          <w:szCs w:val="24"/>
        </w:rPr>
      </w:pPr>
    </w:p>
    <w:p w14:paraId="6CACDB0E" w14:textId="77777777" w:rsidR="002F374E" w:rsidRDefault="009D6A10">
      <w:pPr>
        <w:pStyle w:val="CRCoverPage"/>
        <w:tabs>
          <w:tab w:val="left" w:pos="1985"/>
          <w:tab w:val="left" w:pos="2410"/>
        </w:tabs>
        <w:rPr>
          <w:rFonts w:cs="Arial"/>
          <w:b/>
          <w:bCs/>
          <w:sz w:val="24"/>
          <w:szCs w:val="24"/>
          <w:lang w:eastAsia="ja-JP"/>
        </w:rPr>
      </w:pPr>
      <w:r>
        <w:rPr>
          <w:rFonts w:cs="Arial"/>
          <w:b/>
          <w:bCs/>
          <w:sz w:val="24"/>
          <w:szCs w:val="24"/>
        </w:rPr>
        <w:t>Agenda item:</w:t>
      </w:r>
      <w:r>
        <w:rPr>
          <w:rFonts w:cs="Arial"/>
          <w:b/>
          <w:bCs/>
          <w:sz w:val="24"/>
        </w:rPr>
        <w:tab/>
      </w:r>
      <w:r>
        <w:rPr>
          <w:rFonts w:cs="Arial"/>
          <w:b/>
          <w:bCs/>
          <w:sz w:val="24"/>
          <w:szCs w:val="24"/>
        </w:rPr>
        <w:t>15.3.1.1</w:t>
      </w:r>
    </w:p>
    <w:p w14:paraId="3E5C9628" w14:textId="77777777" w:rsidR="002F374E" w:rsidRDefault="009D6A10">
      <w:pPr>
        <w:tabs>
          <w:tab w:val="left" w:pos="1985"/>
          <w:tab w:val="left" w:pos="2410"/>
        </w:tabs>
        <w:ind w:left="1985" w:hanging="1985"/>
        <w:rPr>
          <w:rFonts w:ascii="Arial" w:hAnsi="Arial" w:cs="Arial"/>
          <w:b/>
          <w:bCs/>
          <w:sz w:val="24"/>
          <w:szCs w:val="24"/>
        </w:rPr>
      </w:pPr>
      <w:r>
        <w:rPr>
          <w:rFonts w:ascii="Arial" w:hAnsi="Arial" w:cs="Arial"/>
          <w:b/>
          <w:bCs/>
          <w:sz w:val="24"/>
          <w:szCs w:val="24"/>
        </w:rPr>
        <w:t>Source:</w:t>
      </w:r>
      <w:r>
        <w:rPr>
          <w:rFonts w:ascii="Arial" w:hAnsi="Arial" w:cs="Arial"/>
          <w:b/>
          <w:bCs/>
          <w:sz w:val="24"/>
        </w:rPr>
        <w:tab/>
      </w:r>
      <w:r>
        <w:rPr>
          <w:rFonts w:ascii="Arial" w:hAnsi="Arial" w:cs="Arial"/>
          <w:b/>
          <w:bCs/>
          <w:sz w:val="24"/>
          <w:szCs w:val="24"/>
        </w:rPr>
        <w:t xml:space="preserve">Nokia, </w:t>
      </w:r>
      <w:r>
        <w:rPr>
          <w:rFonts w:ascii="Arial" w:hAnsi="Arial" w:cs="Arial"/>
          <w:b/>
          <w:bCs/>
          <w:sz w:val="24"/>
          <w:szCs w:val="24"/>
          <w:lang w:eastAsia="ja-JP"/>
        </w:rPr>
        <w:t xml:space="preserve">Nokia </w:t>
      </w:r>
      <w:r>
        <w:rPr>
          <w:rFonts w:ascii="Arial" w:hAnsi="Arial" w:cs="Arial"/>
          <w:b/>
          <w:bCs/>
          <w:sz w:val="24"/>
          <w:szCs w:val="24"/>
        </w:rPr>
        <w:t>Shanghai Bell</w:t>
      </w:r>
    </w:p>
    <w:p w14:paraId="00F94FEE" w14:textId="77777777" w:rsidR="002F374E" w:rsidRDefault="009D6A10">
      <w:pPr>
        <w:tabs>
          <w:tab w:val="left" w:pos="2410"/>
        </w:tabs>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t>Summary of the email discussion #18 on avoiding simultaneous CHO and CPC configuration in the UE</w:t>
      </w:r>
    </w:p>
    <w:p w14:paraId="777C174D" w14:textId="77777777" w:rsidR="002F374E" w:rsidRDefault="009D6A10">
      <w:pPr>
        <w:tabs>
          <w:tab w:val="left" w:pos="1985"/>
          <w:tab w:val="left" w:pos="2410"/>
        </w:tabs>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szCs w:val="24"/>
        </w:rPr>
        <w:t>Discussion</w:t>
      </w:r>
    </w:p>
    <w:p w14:paraId="6E96EDDE" w14:textId="77777777" w:rsidR="002F374E" w:rsidRDefault="002F374E">
      <w:pPr>
        <w:tabs>
          <w:tab w:val="left" w:pos="1985"/>
          <w:tab w:val="left" w:pos="2410"/>
        </w:tabs>
        <w:rPr>
          <w:rFonts w:ascii="Arial" w:hAnsi="Arial" w:cs="Arial"/>
          <w:sz w:val="24"/>
          <w:szCs w:val="24"/>
        </w:rPr>
      </w:pPr>
    </w:p>
    <w:p w14:paraId="2F303DA2" w14:textId="77777777" w:rsidR="002F374E" w:rsidRDefault="009D6A10">
      <w:pPr>
        <w:pStyle w:val="Heading1"/>
        <w:tabs>
          <w:tab w:val="left" w:pos="2410"/>
        </w:tabs>
      </w:pPr>
      <w:r>
        <w:t>1</w:t>
      </w:r>
      <w:r>
        <w:tab/>
        <w:t>Introduction</w:t>
      </w:r>
    </w:p>
    <w:p w14:paraId="68B93D8D" w14:textId="77777777" w:rsidR="002F374E" w:rsidRDefault="009D6A10">
      <w:bookmarkStart w:id="2" w:name="_Toc474247438"/>
      <w:r>
        <w:t xml:space="preserve">At RAN3 #107-bis-e, an LS was received from RAN2 concerning coordination of CHO and CPC (Conditional </w:t>
      </w:r>
      <w:proofErr w:type="spellStart"/>
      <w:r>
        <w:t>PSCell</w:t>
      </w:r>
      <w:proofErr w:type="spellEnd"/>
      <w:r>
        <w:t xml:space="preserve"> Change) [1]. The LS informs RAN3 about following agreement:</w:t>
      </w:r>
    </w:p>
    <w:p w14:paraId="257B31ED" w14:textId="77777777" w:rsidR="002F374E" w:rsidRDefault="009D6A10">
      <w:pPr>
        <w:pBdr>
          <w:top w:val="single" w:sz="4" w:space="1" w:color="auto"/>
          <w:left w:val="single" w:sz="4" w:space="4" w:color="auto"/>
          <w:bottom w:val="single" w:sz="4" w:space="1" w:color="auto"/>
          <w:right w:val="single" w:sz="4" w:space="4" w:color="auto"/>
        </w:pBdr>
        <w:ind w:left="284" w:right="285"/>
      </w:pPr>
      <w:r>
        <w:t xml:space="preserve">Support of CHO and CPC-intra-SN configuration simultaneously is not considered in Rel-16. Leave it up to the network solution to ensure there is no simultaneous CHO and CPC configuration. </w:t>
      </w:r>
    </w:p>
    <w:p w14:paraId="02371390" w14:textId="77777777" w:rsidR="002F374E" w:rsidRDefault="009D6A10">
      <w:pPr>
        <w:pBdr>
          <w:top w:val="single" w:sz="4" w:space="1" w:color="auto"/>
          <w:left w:val="single" w:sz="4" w:space="4" w:color="auto"/>
          <w:bottom w:val="single" w:sz="4" w:space="1" w:color="auto"/>
          <w:right w:val="single" w:sz="4" w:space="4" w:color="auto"/>
        </w:pBdr>
        <w:ind w:left="284" w:right="285"/>
      </w:pPr>
      <w:r>
        <w:t>Up to RAN3 if/how to ensure no simultaneous CHO+CPC (e.g. OAM, etc.).</w:t>
      </w:r>
    </w:p>
    <w:p w14:paraId="15F63336" w14:textId="77777777" w:rsidR="002F374E" w:rsidRDefault="009D6A10">
      <w:r>
        <w:t>Following reception of the LS and based on company contributions related to the topic [2-16], an email discussion was started at RAN3 #107-bis-e on how to address the request from RAN2. This paper summarises the discussion.</w:t>
      </w:r>
    </w:p>
    <w:p w14:paraId="2117656E" w14:textId="77777777" w:rsidR="002F374E" w:rsidRDefault="009D6A10">
      <w:pPr>
        <w:pStyle w:val="Heading1"/>
        <w:tabs>
          <w:tab w:val="left" w:pos="2410"/>
        </w:tabs>
      </w:pPr>
      <w:r>
        <w:t>2</w:t>
      </w:r>
      <w:r>
        <w:tab/>
        <w:t>Discussion</w:t>
      </w:r>
      <w:bookmarkEnd w:id="2"/>
    </w:p>
    <w:bookmarkEnd w:id="1"/>
    <w:p w14:paraId="199AEA08" w14:textId="77777777" w:rsidR="002F374E" w:rsidRDefault="009D6A10">
      <w:r>
        <w:t>Among the submitted contributions, only two mention OAM-based configuration (effectively switching off either CHO or CPC) as an option [2,6]. Neither proposes it as a preferred way forward.</w:t>
      </w:r>
    </w:p>
    <w:p w14:paraId="0EE666D2" w14:textId="22868E09" w:rsidR="002F374E" w:rsidRDefault="009D6A10">
      <w:r>
        <w:t>The needed signalling is proposed in several forms. Below, selected elements are discussed</w:t>
      </w:r>
      <w:r w:rsidR="00ED51B3">
        <w:t>.</w:t>
      </w:r>
    </w:p>
    <w:p w14:paraId="380337BE" w14:textId="77777777" w:rsidR="002F374E" w:rsidRDefault="009D6A10">
      <w:pPr>
        <w:pStyle w:val="Heading2"/>
      </w:pPr>
      <w:r>
        <w:t>2.1</w:t>
      </w:r>
      <w:r>
        <w:tab/>
        <w:t>The MN controls CHO / CPC execution</w:t>
      </w:r>
    </w:p>
    <w:p w14:paraId="6E7E495D" w14:textId="77777777" w:rsidR="002F374E" w:rsidRDefault="009D6A10">
      <w:r>
        <w:t xml:space="preserve">This is proposed in [2, 10, 13 and 16]. It has a form of a single flag [2, 13, 16] or a number of allowed </w:t>
      </w:r>
      <w:proofErr w:type="spellStart"/>
      <w:r>
        <w:t>PSCells</w:t>
      </w:r>
      <w:proofErr w:type="spellEnd"/>
      <w:r>
        <w:t xml:space="preserve"> to be configured [10]. </w:t>
      </w:r>
    </w:p>
    <w:tbl>
      <w:tblPr>
        <w:tblStyle w:val="TableGrid"/>
        <w:tblW w:w="9631" w:type="dxa"/>
        <w:tblLayout w:type="fixed"/>
        <w:tblLook w:val="04A0" w:firstRow="1" w:lastRow="0" w:firstColumn="1" w:lastColumn="0" w:noHBand="0" w:noVBand="1"/>
      </w:tblPr>
      <w:tblGrid>
        <w:gridCol w:w="1413"/>
        <w:gridCol w:w="2977"/>
        <w:gridCol w:w="5241"/>
      </w:tblGrid>
      <w:tr w:rsidR="002F374E" w14:paraId="57C304A2" w14:textId="77777777">
        <w:trPr>
          <w:tblHeader/>
        </w:trPr>
        <w:tc>
          <w:tcPr>
            <w:tcW w:w="1413" w:type="dxa"/>
            <w:shd w:val="clear" w:color="auto" w:fill="D9D9D9" w:themeFill="background1" w:themeFillShade="D9"/>
          </w:tcPr>
          <w:p w14:paraId="7DD170B7" w14:textId="77777777" w:rsidR="002F374E" w:rsidRDefault="009D6A10">
            <w:pPr>
              <w:keepNext/>
            </w:pPr>
            <w:r>
              <w:t>Company</w:t>
            </w:r>
          </w:p>
        </w:tc>
        <w:tc>
          <w:tcPr>
            <w:tcW w:w="2977" w:type="dxa"/>
            <w:shd w:val="clear" w:color="auto" w:fill="D9D9D9" w:themeFill="background1" w:themeFillShade="D9"/>
          </w:tcPr>
          <w:p w14:paraId="66DE071A" w14:textId="77777777" w:rsidR="002F374E" w:rsidRDefault="009D6A10">
            <w:pPr>
              <w:keepNext/>
            </w:pPr>
            <w:r>
              <w:t>Preferred form of control</w:t>
            </w:r>
          </w:p>
        </w:tc>
        <w:tc>
          <w:tcPr>
            <w:tcW w:w="5241" w:type="dxa"/>
            <w:shd w:val="clear" w:color="auto" w:fill="D9D9D9" w:themeFill="background1" w:themeFillShade="D9"/>
          </w:tcPr>
          <w:p w14:paraId="6EC35C90" w14:textId="77777777" w:rsidR="002F374E" w:rsidRDefault="009D6A10">
            <w:pPr>
              <w:keepNext/>
            </w:pPr>
            <w:r>
              <w:t>Comment</w:t>
            </w:r>
          </w:p>
        </w:tc>
      </w:tr>
      <w:tr w:rsidR="002F374E" w14:paraId="26C34195" w14:textId="77777777">
        <w:tc>
          <w:tcPr>
            <w:tcW w:w="1413" w:type="dxa"/>
          </w:tcPr>
          <w:p w14:paraId="6F95B2A9" w14:textId="77777777" w:rsidR="002F374E" w:rsidRDefault="009D6A10">
            <w:r>
              <w:t>Nokia</w:t>
            </w:r>
          </w:p>
        </w:tc>
        <w:tc>
          <w:tcPr>
            <w:tcW w:w="2977" w:type="dxa"/>
          </w:tcPr>
          <w:p w14:paraId="5CF3E83E" w14:textId="77777777" w:rsidR="002F374E" w:rsidRDefault="009D6A10">
            <w:r>
              <w:t>Flag (Addition, MN-init. mod.)</w:t>
            </w:r>
          </w:p>
        </w:tc>
        <w:tc>
          <w:tcPr>
            <w:tcW w:w="5241" w:type="dxa"/>
          </w:tcPr>
          <w:p w14:paraId="14216D44" w14:textId="77777777" w:rsidR="002F374E" w:rsidRDefault="009D6A10">
            <w:r>
              <w:t xml:space="preserve">This method enables the MN to control if CPC is allowed either in static way (not allowed for given UE from the very beginning) or more dynamically (CPC forbidden for the period when CHO is configured). </w:t>
            </w:r>
          </w:p>
          <w:p w14:paraId="61697BE7" w14:textId="77777777" w:rsidR="002F374E" w:rsidRDefault="009D6A10">
            <w:r>
              <w:t xml:space="preserve">Having anything more than binary flag does not seem necessary, because there is no scenario expected where the CPC is allowed, but with limited number of target </w:t>
            </w:r>
            <w:proofErr w:type="spellStart"/>
            <w:r>
              <w:t>PSCells</w:t>
            </w:r>
            <w:proofErr w:type="spellEnd"/>
            <w:r>
              <w:t>. Otherwise, extendable flag should be enough to enable normal future-proof solution.</w:t>
            </w:r>
          </w:p>
        </w:tc>
      </w:tr>
      <w:tr w:rsidR="002F374E" w14:paraId="786C2F2E" w14:textId="77777777">
        <w:tc>
          <w:tcPr>
            <w:tcW w:w="1413" w:type="dxa"/>
          </w:tcPr>
          <w:p w14:paraId="2BB7C3DA" w14:textId="77777777" w:rsidR="002F374E" w:rsidRDefault="009D6A10">
            <w:r>
              <w:lastRenderedPageBreak/>
              <w:t>INTEL</w:t>
            </w:r>
          </w:p>
        </w:tc>
        <w:tc>
          <w:tcPr>
            <w:tcW w:w="2977" w:type="dxa"/>
          </w:tcPr>
          <w:p w14:paraId="43E14A0D" w14:textId="77777777" w:rsidR="002F374E" w:rsidRDefault="009D6A10">
            <w:r>
              <w:t>Flag (Addition, MN-init. mod.)</w:t>
            </w:r>
          </w:p>
        </w:tc>
        <w:tc>
          <w:tcPr>
            <w:tcW w:w="5241" w:type="dxa"/>
          </w:tcPr>
          <w:p w14:paraId="34E2B5FB" w14:textId="77777777" w:rsidR="002F374E" w:rsidRDefault="009D6A10">
            <w:r>
              <w:t xml:space="preserve">Overall OK but just one thing: when adding SN, a default (without including new IE) is better to mean that SN is allowed to do CPC. In other words, new IE in SN ADD REQ should be included when MN wants to prevent SN from doing CPC (i.e. “CPC not allowed”). This looks more natural. </w:t>
            </w:r>
          </w:p>
        </w:tc>
      </w:tr>
      <w:tr w:rsidR="002F374E" w14:paraId="00D5300F" w14:textId="77777777">
        <w:tc>
          <w:tcPr>
            <w:tcW w:w="1413" w:type="dxa"/>
          </w:tcPr>
          <w:p w14:paraId="695ADF1C" w14:textId="77777777" w:rsidR="002F374E" w:rsidRDefault="009D6A10">
            <w:r>
              <w:t>Google</w:t>
            </w:r>
          </w:p>
        </w:tc>
        <w:tc>
          <w:tcPr>
            <w:tcW w:w="2977" w:type="dxa"/>
          </w:tcPr>
          <w:p w14:paraId="5E2E287C" w14:textId="77777777" w:rsidR="002F374E" w:rsidRDefault="009D6A10">
            <w:r>
              <w:t>Flag (Addition, MN-init. mod.)</w:t>
            </w:r>
          </w:p>
        </w:tc>
        <w:tc>
          <w:tcPr>
            <w:tcW w:w="5241" w:type="dxa"/>
          </w:tcPr>
          <w:p w14:paraId="2BD40BCB" w14:textId="77777777" w:rsidR="002F374E" w:rsidRDefault="009D6A10">
            <w:r>
              <w:t>OK to include the IE in SN ADD REQ in addition to SN MOD REQ.</w:t>
            </w:r>
          </w:p>
        </w:tc>
      </w:tr>
      <w:tr w:rsidR="002F374E" w14:paraId="745C6033" w14:textId="77777777">
        <w:tc>
          <w:tcPr>
            <w:tcW w:w="1413" w:type="dxa"/>
          </w:tcPr>
          <w:p w14:paraId="0DA1639A" w14:textId="77777777" w:rsidR="002F374E" w:rsidRDefault="009D6A10">
            <w:pPr>
              <w:rPr>
                <w:rFonts w:eastAsiaTheme="minorEastAsia"/>
                <w:lang w:eastAsia="zh-CN"/>
              </w:rPr>
            </w:pPr>
            <w:r>
              <w:rPr>
                <w:rFonts w:eastAsiaTheme="minorEastAsia" w:hint="eastAsia"/>
                <w:lang w:eastAsia="zh-CN"/>
              </w:rPr>
              <w:t>CATT</w:t>
            </w:r>
          </w:p>
        </w:tc>
        <w:tc>
          <w:tcPr>
            <w:tcW w:w="2977" w:type="dxa"/>
          </w:tcPr>
          <w:p w14:paraId="0376CE9C" w14:textId="77777777" w:rsidR="002F374E" w:rsidRDefault="009D6A10">
            <w:r>
              <w:t>Flag (</w:t>
            </w:r>
            <w:r>
              <w:rPr>
                <w:rFonts w:eastAsiaTheme="minorEastAsia" w:hint="eastAsia"/>
                <w:lang w:eastAsia="zh-CN"/>
              </w:rPr>
              <w:t xml:space="preserve"> </w:t>
            </w:r>
            <w:r>
              <w:t>MN-init. Mod</w:t>
            </w:r>
            <w:r>
              <w:rPr>
                <w:rFonts w:eastAsiaTheme="minorEastAsia" w:hint="eastAsia"/>
                <w:lang w:eastAsia="zh-CN"/>
              </w:rPr>
              <w:t xml:space="preserve">, SN-init. </w:t>
            </w:r>
            <w:r>
              <w:rPr>
                <w:rFonts w:eastAsiaTheme="minorEastAsia"/>
                <w:lang w:eastAsia="zh-CN"/>
              </w:rPr>
              <w:t>M</w:t>
            </w:r>
            <w:r>
              <w:rPr>
                <w:rFonts w:eastAsiaTheme="minorEastAsia" w:hint="eastAsia"/>
                <w:lang w:eastAsia="zh-CN"/>
              </w:rPr>
              <w:t xml:space="preserve">od </w:t>
            </w:r>
            <w:r>
              <w:t>)</w:t>
            </w:r>
          </w:p>
        </w:tc>
        <w:tc>
          <w:tcPr>
            <w:tcW w:w="5241" w:type="dxa"/>
          </w:tcPr>
          <w:p w14:paraId="7FE0F678" w14:textId="77777777" w:rsidR="002F374E" w:rsidRDefault="009D6A10">
            <w:pPr>
              <w:rPr>
                <w:rFonts w:eastAsiaTheme="minorEastAsia"/>
                <w:lang w:eastAsia="zh-CN"/>
              </w:rPr>
            </w:pPr>
            <w:r>
              <w:t>T</w:t>
            </w:r>
            <w:r>
              <w:rPr>
                <w:rFonts w:hint="eastAsia"/>
              </w:rPr>
              <w:t>he flag is not needed for the SN Addition</w:t>
            </w:r>
            <w:r>
              <w:t xml:space="preserve"> proce</w:t>
            </w:r>
            <w:r>
              <w:rPr>
                <w:rFonts w:hint="eastAsia"/>
              </w:rPr>
              <w:t>dure</w:t>
            </w:r>
            <w:r>
              <w:t xml:space="preserve">, </w:t>
            </w:r>
            <w:r>
              <w:rPr>
                <w:rFonts w:hint="eastAsia"/>
              </w:rPr>
              <w:t>because it</w:t>
            </w:r>
            <w:r>
              <w:t xml:space="preserve"> </w:t>
            </w:r>
            <w:r>
              <w:rPr>
                <w:rFonts w:hint="eastAsia"/>
              </w:rPr>
              <w:t>can be</w:t>
            </w:r>
            <w:r>
              <w:t xml:space="preserve"> </w:t>
            </w:r>
            <w:r>
              <w:rPr>
                <w:rFonts w:hint="eastAsia"/>
              </w:rPr>
              <w:t xml:space="preserve">considered to be always </w:t>
            </w:r>
            <w:r>
              <w:t xml:space="preserve">allowed </w:t>
            </w:r>
            <w:r>
              <w:rPr>
                <w:rFonts w:hint="eastAsia"/>
              </w:rPr>
              <w:t>during</w:t>
            </w:r>
            <w:r>
              <w:t xml:space="preserve"> </w:t>
            </w:r>
            <w:r>
              <w:rPr>
                <w:rFonts w:eastAsiaTheme="minorEastAsia" w:hint="eastAsia"/>
                <w:lang w:eastAsia="zh-CN"/>
              </w:rPr>
              <w:t xml:space="preserve">the </w:t>
            </w:r>
            <w:r>
              <w:rPr>
                <w:rFonts w:hint="eastAsia"/>
              </w:rPr>
              <w:t>addition</w:t>
            </w:r>
            <w:r>
              <w:t xml:space="preserve">, and </w:t>
            </w:r>
            <w:r>
              <w:rPr>
                <w:rFonts w:hint="eastAsia"/>
              </w:rPr>
              <w:t>the</w:t>
            </w:r>
            <w:r>
              <w:t xml:space="preserve"> "allow"</w:t>
            </w:r>
            <w:r>
              <w:rPr>
                <w:rFonts w:eastAsiaTheme="minorEastAsia" w:hint="eastAsia"/>
                <w:lang w:eastAsia="zh-CN"/>
              </w:rPr>
              <w:t xml:space="preserve"> </w:t>
            </w:r>
            <w:r>
              <w:rPr>
                <w:rFonts w:hint="eastAsia"/>
              </w:rPr>
              <w:t>status can be modified</w:t>
            </w:r>
            <w:r>
              <w:t xml:space="preserve"> </w:t>
            </w:r>
            <w:r>
              <w:rPr>
                <w:rFonts w:hint="eastAsia"/>
              </w:rPr>
              <w:t xml:space="preserve">by the </w:t>
            </w:r>
            <w:r>
              <w:rPr>
                <w:rFonts w:eastAsiaTheme="minorEastAsia" w:hint="eastAsia"/>
                <w:lang w:eastAsia="zh-CN"/>
              </w:rPr>
              <w:t xml:space="preserve">following </w:t>
            </w:r>
            <w:r>
              <w:rPr>
                <w:rFonts w:hint="eastAsia"/>
              </w:rPr>
              <w:t>SN modification procedure</w:t>
            </w:r>
            <w:r>
              <w:t>.</w:t>
            </w:r>
            <w:r>
              <w:rPr>
                <w:rFonts w:hint="eastAsia"/>
              </w:rPr>
              <w:t xml:space="preserve"> </w:t>
            </w:r>
            <w:r>
              <w:rPr>
                <w:rFonts w:eastAsiaTheme="minorEastAsia" w:hint="eastAsia"/>
                <w:lang w:eastAsia="zh-CN"/>
              </w:rPr>
              <w:t xml:space="preserve"> Additionally, t</w:t>
            </w:r>
            <w:r>
              <w:t>he</w:t>
            </w:r>
            <w:r>
              <w:rPr>
                <w:rFonts w:eastAsiaTheme="minorEastAsia" w:hint="eastAsia"/>
                <w:lang w:eastAsia="zh-CN"/>
              </w:rPr>
              <w:t xml:space="preserve"> SN-init. </w:t>
            </w:r>
            <w:r>
              <w:rPr>
                <w:rFonts w:eastAsiaTheme="minorEastAsia"/>
                <w:lang w:eastAsia="zh-CN"/>
              </w:rPr>
              <w:t>M</w:t>
            </w:r>
            <w:r>
              <w:rPr>
                <w:rFonts w:eastAsiaTheme="minorEastAsia" w:hint="eastAsia"/>
                <w:lang w:eastAsia="zh-CN"/>
              </w:rPr>
              <w:t>od procedure</w:t>
            </w:r>
            <w:r>
              <w:t xml:space="preserve"> is helpful</w:t>
            </w:r>
            <w:r>
              <w:rPr>
                <w:rFonts w:eastAsiaTheme="minorEastAsia" w:hint="eastAsia"/>
                <w:lang w:eastAsia="zh-CN"/>
              </w:rPr>
              <w:t xml:space="preserve"> as </w:t>
            </w:r>
            <w:r>
              <w:t xml:space="preserve">a supplementary solution, </w:t>
            </w:r>
            <w:proofErr w:type="spellStart"/>
            <w:r>
              <w:rPr>
                <w:rFonts w:eastAsiaTheme="minorEastAsia" w:hint="eastAsia"/>
                <w:lang w:eastAsia="zh-CN"/>
              </w:rPr>
              <w:t>e.g</w:t>
            </w:r>
            <w:proofErr w:type="spellEnd"/>
            <w:r>
              <w:rPr>
                <w:rFonts w:eastAsiaTheme="minorEastAsia" w:hint="eastAsia"/>
                <w:lang w:eastAsia="zh-CN"/>
              </w:rPr>
              <w:t xml:space="preserve">, </w:t>
            </w:r>
            <w:r>
              <w:t>i</w:t>
            </w:r>
            <w:r>
              <w:rPr>
                <w:rFonts w:eastAsiaTheme="minorEastAsia" w:hint="eastAsia"/>
                <w:lang w:eastAsia="zh-CN"/>
              </w:rPr>
              <w:t>n case</w:t>
            </w:r>
            <w:r>
              <w:t xml:space="preserve"> the SN is </w:t>
            </w:r>
            <w:r>
              <w:rPr>
                <w:rFonts w:eastAsiaTheme="minorEastAsia" w:hint="eastAsia"/>
                <w:lang w:eastAsia="zh-CN"/>
              </w:rPr>
              <w:t>configur</w:t>
            </w:r>
            <w:r>
              <w:t xml:space="preserve">ed with </w:t>
            </w:r>
            <w:r>
              <w:rPr>
                <w:rFonts w:eastAsiaTheme="minorEastAsia" w:hint="eastAsia"/>
                <w:lang w:eastAsia="zh-CN"/>
              </w:rPr>
              <w:t>s</w:t>
            </w:r>
            <w:r>
              <w:t xml:space="preserve">plit SRB1/2, the SN should be allowed to continue the </w:t>
            </w:r>
            <w:r>
              <w:rPr>
                <w:rFonts w:eastAsiaTheme="minorEastAsia" w:hint="eastAsia"/>
                <w:lang w:eastAsia="zh-CN"/>
              </w:rPr>
              <w:t xml:space="preserve">CPC </w:t>
            </w:r>
            <w:r>
              <w:t xml:space="preserve">operation, </w:t>
            </w:r>
            <w:r>
              <w:rPr>
                <w:rFonts w:eastAsiaTheme="minorEastAsia" w:hint="eastAsia"/>
                <w:lang w:eastAsia="zh-CN"/>
              </w:rPr>
              <w:t xml:space="preserve">while </w:t>
            </w:r>
            <w:r>
              <w:t xml:space="preserve">the subsequent normal HO </w:t>
            </w:r>
            <w:r>
              <w:rPr>
                <w:rFonts w:eastAsiaTheme="minorEastAsia" w:hint="eastAsia"/>
                <w:lang w:eastAsia="zh-CN"/>
              </w:rPr>
              <w:t xml:space="preserve">+ </w:t>
            </w:r>
            <w:r>
              <w:t xml:space="preserve">MCG Recovery can further ensure </w:t>
            </w:r>
            <w:r>
              <w:rPr>
                <w:rFonts w:eastAsiaTheme="minorEastAsia" w:hint="eastAsia"/>
                <w:lang w:eastAsia="zh-CN"/>
              </w:rPr>
              <w:t xml:space="preserve">the </w:t>
            </w:r>
            <w:r>
              <w:t>reliability.</w:t>
            </w:r>
          </w:p>
        </w:tc>
      </w:tr>
      <w:tr w:rsidR="002F374E" w14:paraId="49FB2347" w14:textId="77777777">
        <w:tc>
          <w:tcPr>
            <w:tcW w:w="1413" w:type="dxa"/>
          </w:tcPr>
          <w:p w14:paraId="16E37DD7" w14:textId="77777777" w:rsidR="002F374E" w:rsidRPr="00F3607B" w:rsidRDefault="009D6A10">
            <w:pPr>
              <w:rPr>
                <w:rFonts w:eastAsia="DengXian"/>
                <w:lang w:eastAsia="zh-CN"/>
              </w:rPr>
            </w:pPr>
            <w:r>
              <w:rPr>
                <w:rFonts w:eastAsia="DengXian" w:hint="eastAsia"/>
                <w:lang w:eastAsia="zh-CN"/>
              </w:rPr>
              <w:t>H</w:t>
            </w:r>
            <w:r>
              <w:rPr>
                <w:rFonts w:eastAsia="DengXian"/>
                <w:lang w:eastAsia="zh-CN"/>
              </w:rPr>
              <w:t>uawei</w:t>
            </w:r>
          </w:p>
        </w:tc>
        <w:tc>
          <w:tcPr>
            <w:tcW w:w="2977" w:type="dxa"/>
          </w:tcPr>
          <w:p w14:paraId="305F5794" w14:textId="77777777" w:rsidR="002F374E" w:rsidRPr="00F3607B" w:rsidRDefault="009D6A10">
            <w:pPr>
              <w:rPr>
                <w:rFonts w:eastAsia="DengXian"/>
                <w:lang w:eastAsia="zh-CN"/>
              </w:rPr>
            </w:pPr>
            <w:r>
              <w:rPr>
                <w:rFonts w:eastAsia="DengXian" w:hint="eastAsia"/>
                <w:lang w:eastAsia="zh-CN"/>
              </w:rPr>
              <w:t>F</w:t>
            </w:r>
            <w:r>
              <w:rPr>
                <w:rFonts w:eastAsia="DengXian"/>
                <w:lang w:eastAsia="zh-CN"/>
              </w:rPr>
              <w:t xml:space="preserve">lag (SN-init. Mod, cause in SN-init. Mod </w:t>
            </w:r>
            <w:proofErr w:type="spellStart"/>
            <w:r>
              <w:rPr>
                <w:rFonts w:eastAsia="DengXian"/>
                <w:lang w:eastAsia="zh-CN"/>
              </w:rPr>
              <w:t>resp</w:t>
            </w:r>
            <w:proofErr w:type="spellEnd"/>
            <w:r>
              <w:rPr>
                <w:rFonts w:eastAsia="DengXian"/>
                <w:lang w:eastAsia="zh-CN"/>
              </w:rPr>
              <w:t>)</w:t>
            </w:r>
          </w:p>
        </w:tc>
        <w:tc>
          <w:tcPr>
            <w:tcW w:w="5241" w:type="dxa"/>
          </w:tcPr>
          <w:p w14:paraId="54AFA4A0" w14:textId="77777777" w:rsidR="002F374E" w:rsidRDefault="009D6A10">
            <w:pPr>
              <w:rPr>
                <w:rFonts w:eastAsia="DengXian"/>
                <w:lang w:eastAsia="zh-CN"/>
              </w:rPr>
            </w:pPr>
            <w:r>
              <w:rPr>
                <w:rFonts w:eastAsia="DengXian"/>
                <w:lang w:eastAsia="zh-CN"/>
              </w:rPr>
              <w:t xml:space="preserve">We don’t think MN should control the CPC in SN given that the intra-SN </w:t>
            </w:r>
            <w:proofErr w:type="spellStart"/>
            <w:r>
              <w:rPr>
                <w:rFonts w:eastAsia="DengXian"/>
                <w:lang w:eastAsia="zh-CN"/>
              </w:rPr>
              <w:t>PScell</w:t>
            </w:r>
            <w:proofErr w:type="spellEnd"/>
            <w:r>
              <w:rPr>
                <w:rFonts w:eastAsia="DengXian"/>
                <w:lang w:eastAsia="zh-CN"/>
              </w:rPr>
              <w:t xml:space="preserve"> change is transparently to MN actually.</w:t>
            </w:r>
          </w:p>
          <w:p w14:paraId="714B827C" w14:textId="77777777" w:rsidR="002F374E" w:rsidRDefault="009D6A10">
            <w:pPr>
              <w:rPr>
                <w:rFonts w:eastAsia="DengXian"/>
                <w:lang w:eastAsia="zh-CN"/>
              </w:rPr>
            </w:pPr>
            <w:r>
              <w:rPr>
                <w:rFonts w:eastAsia="DengXian" w:hint="eastAsia"/>
                <w:lang w:eastAsia="zh-CN"/>
              </w:rPr>
              <w:t>T</w:t>
            </w:r>
            <w:r>
              <w:rPr>
                <w:rFonts w:eastAsia="DengXian"/>
                <w:lang w:eastAsia="zh-CN"/>
              </w:rPr>
              <w:t>herefore, there is no need any flag in MN initiated SN addition/modification message.</w:t>
            </w:r>
          </w:p>
          <w:p w14:paraId="78D9D29E" w14:textId="77777777" w:rsidR="002F374E" w:rsidRDefault="009D6A10">
            <w:pPr>
              <w:rPr>
                <w:rFonts w:eastAsia="DengXian"/>
                <w:lang w:eastAsia="zh-CN"/>
              </w:rPr>
            </w:pPr>
            <w:r>
              <w:rPr>
                <w:rFonts w:eastAsia="DengXian"/>
                <w:lang w:eastAsia="zh-CN"/>
              </w:rPr>
              <w:t xml:space="preserve">If the MN want to </w:t>
            </w:r>
            <w:proofErr w:type="spellStart"/>
            <w:r>
              <w:rPr>
                <w:rFonts w:eastAsia="DengXian"/>
                <w:lang w:eastAsia="zh-CN"/>
              </w:rPr>
              <w:t>cconfig</w:t>
            </w:r>
            <w:proofErr w:type="spellEnd"/>
            <w:r>
              <w:rPr>
                <w:rFonts w:eastAsia="DengXian"/>
                <w:lang w:eastAsia="zh-CN"/>
              </w:rPr>
              <w:t xml:space="preserve"> CHO without receiving CPC configured flag from SN beforehand, just do it and no need to inform SN.</w:t>
            </w:r>
          </w:p>
          <w:p w14:paraId="5771F61A" w14:textId="77777777" w:rsidR="002F374E" w:rsidRPr="00F3607B" w:rsidRDefault="009D6A10">
            <w:pPr>
              <w:rPr>
                <w:rFonts w:eastAsia="DengXian"/>
                <w:lang w:eastAsia="zh-CN"/>
              </w:rPr>
            </w:pPr>
            <w:r>
              <w:rPr>
                <w:rFonts w:eastAsia="DengXian"/>
                <w:lang w:eastAsia="zh-CN"/>
              </w:rPr>
              <w:t>If SN triggered the CPC procedure later on, the MN may reject it by a cause value.</w:t>
            </w:r>
          </w:p>
        </w:tc>
      </w:tr>
      <w:tr w:rsidR="002F374E" w14:paraId="54EA961A" w14:textId="77777777">
        <w:tc>
          <w:tcPr>
            <w:tcW w:w="1413" w:type="dxa"/>
          </w:tcPr>
          <w:p w14:paraId="428540D8" w14:textId="77777777" w:rsidR="002F374E" w:rsidRDefault="009D6A10">
            <w:pPr>
              <w:rPr>
                <w:rFonts w:eastAsia="DengXian"/>
                <w:lang w:eastAsia="zh-CN"/>
              </w:rPr>
            </w:pPr>
            <w:r>
              <w:rPr>
                <w:rFonts w:eastAsiaTheme="minorEastAsia" w:hint="eastAsia"/>
                <w:lang w:val="en-US" w:eastAsia="zh-CN"/>
              </w:rPr>
              <w:t>ZTE</w:t>
            </w:r>
          </w:p>
        </w:tc>
        <w:tc>
          <w:tcPr>
            <w:tcW w:w="2977" w:type="dxa"/>
          </w:tcPr>
          <w:p w14:paraId="0D158772" w14:textId="77777777" w:rsidR="002F374E" w:rsidRDefault="009D6A10">
            <w:pPr>
              <w:rPr>
                <w:rFonts w:eastAsia="DengXian"/>
                <w:lang w:eastAsia="zh-CN"/>
              </w:rPr>
            </w:pPr>
            <w:r>
              <w:t>Flag (Addition, MN-init. mod.)</w:t>
            </w:r>
          </w:p>
        </w:tc>
        <w:tc>
          <w:tcPr>
            <w:tcW w:w="5241" w:type="dxa"/>
          </w:tcPr>
          <w:p w14:paraId="0DF9E640" w14:textId="77777777" w:rsidR="002F374E" w:rsidRDefault="009D6A10">
            <w:pPr>
              <w:rPr>
                <w:rFonts w:eastAsia="SimSun"/>
                <w:lang w:val="en-US" w:eastAsia="zh-CN"/>
              </w:rPr>
            </w:pPr>
            <w:r>
              <w:rPr>
                <w:rFonts w:eastAsia="SimSun" w:hint="eastAsia"/>
                <w:lang w:val="en-US" w:eastAsia="zh-CN"/>
              </w:rPr>
              <w:t xml:space="preserve">We are generally fine with simple </w:t>
            </w:r>
            <w:r>
              <w:t>binary flag</w:t>
            </w:r>
            <w:r>
              <w:rPr>
                <w:rFonts w:eastAsia="SimSun" w:hint="eastAsia"/>
                <w:lang w:val="en-US" w:eastAsia="zh-CN"/>
              </w:rPr>
              <w:t xml:space="preserve">. The reason why max. </w:t>
            </w:r>
            <w:r>
              <w:t xml:space="preserve">number of allowed </w:t>
            </w:r>
            <w:proofErr w:type="spellStart"/>
            <w:r>
              <w:t>PSCells</w:t>
            </w:r>
            <w:proofErr w:type="spellEnd"/>
            <w:r>
              <w:rPr>
                <w:rFonts w:eastAsia="SimSun" w:hint="eastAsia"/>
                <w:lang w:val="en-US" w:eastAsia="zh-CN"/>
              </w:rPr>
              <w:t xml:space="preserve"> is proposed is that in Rel-17, we may specify </w:t>
            </w:r>
            <w:r>
              <w:rPr>
                <w:rFonts w:eastAsia="SimSun" w:hint="eastAsia"/>
                <w:highlight w:val="yellow"/>
                <w:lang w:val="en-US" w:eastAsia="zh-CN"/>
              </w:rPr>
              <w:t>MN initiated CPC</w:t>
            </w:r>
            <w:r>
              <w:rPr>
                <w:rFonts w:eastAsia="SimSun" w:hint="eastAsia"/>
                <w:lang w:val="en-US" w:eastAsia="zh-CN"/>
              </w:rPr>
              <w:t xml:space="preserve">, then, the number of candidate </w:t>
            </w:r>
            <w:proofErr w:type="spellStart"/>
            <w:r>
              <w:t>PSCells</w:t>
            </w:r>
            <w:proofErr w:type="spellEnd"/>
            <w:r>
              <w:rPr>
                <w:rFonts w:eastAsia="SimSun" w:hint="eastAsia"/>
                <w:lang w:val="en-US" w:eastAsia="zh-CN"/>
              </w:rPr>
              <w:t xml:space="preserve"> among all involved SNs should be split and coordinated between MN and SNs, so that the total pre-configured candidate </w:t>
            </w:r>
            <w:proofErr w:type="spellStart"/>
            <w:r>
              <w:t>PSCell</w:t>
            </w:r>
            <w:proofErr w:type="spellEnd"/>
            <w:r>
              <w:rPr>
                <w:rFonts w:eastAsia="SimSun" w:hint="eastAsia"/>
                <w:lang w:val="en-US" w:eastAsia="zh-CN"/>
              </w:rPr>
              <w:t xml:space="preserve"> is kept within UE limit, e.g. 8. </w:t>
            </w:r>
          </w:p>
          <w:p w14:paraId="4702E3D1" w14:textId="77777777" w:rsidR="002F374E" w:rsidRDefault="009D6A10">
            <w:pPr>
              <w:rPr>
                <w:rFonts w:eastAsia="DengXian"/>
                <w:lang w:eastAsia="zh-CN"/>
              </w:rPr>
            </w:pPr>
            <w:r>
              <w:rPr>
                <w:rFonts w:eastAsia="SimSun" w:hint="eastAsia"/>
                <w:lang w:val="en-US" w:eastAsia="zh-CN"/>
              </w:rPr>
              <w:t>We try to make the Rel-16 signaling forward-compatible.</w:t>
            </w:r>
          </w:p>
        </w:tc>
      </w:tr>
      <w:tr w:rsidR="00CE490B" w14:paraId="02935C8F" w14:textId="77777777">
        <w:tc>
          <w:tcPr>
            <w:tcW w:w="1413" w:type="dxa"/>
          </w:tcPr>
          <w:p w14:paraId="56547376" w14:textId="71446B74" w:rsidR="00CE490B" w:rsidRDefault="00CE490B">
            <w:pPr>
              <w:rPr>
                <w:rFonts w:eastAsiaTheme="minorEastAsia"/>
                <w:lang w:val="en-US" w:eastAsia="zh-CN"/>
              </w:rPr>
            </w:pPr>
            <w:r>
              <w:rPr>
                <w:rFonts w:eastAsiaTheme="minorEastAsia"/>
                <w:lang w:val="en-US" w:eastAsia="zh-CN"/>
              </w:rPr>
              <w:t>Ericsson</w:t>
            </w:r>
          </w:p>
        </w:tc>
        <w:tc>
          <w:tcPr>
            <w:tcW w:w="2977" w:type="dxa"/>
          </w:tcPr>
          <w:p w14:paraId="00DE599A" w14:textId="0FB063B7" w:rsidR="00CE490B" w:rsidRDefault="00CE490B">
            <w:r>
              <w:t>OAM</w:t>
            </w:r>
          </w:p>
        </w:tc>
        <w:tc>
          <w:tcPr>
            <w:tcW w:w="5241" w:type="dxa"/>
          </w:tcPr>
          <w:p w14:paraId="6D20135A" w14:textId="194C4D75" w:rsidR="00CE490B" w:rsidRDefault="00CE490B">
            <w:pPr>
              <w:rPr>
                <w:rFonts w:eastAsia="SimSun"/>
                <w:lang w:val="en-US" w:eastAsia="zh-CN"/>
              </w:rPr>
            </w:pPr>
            <w:r>
              <w:rPr>
                <w:rFonts w:eastAsia="SimSun"/>
                <w:lang w:val="en-US" w:eastAsia="zh-CN"/>
              </w:rPr>
              <w:t xml:space="preserve">Both signaling solutions have issues (e.g. max number not needed in rel-17, flag in MN-initiated </w:t>
            </w:r>
            <w:proofErr w:type="spellStart"/>
            <w:r>
              <w:rPr>
                <w:rFonts w:eastAsia="SimSun"/>
                <w:lang w:val="en-US" w:eastAsia="zh-CN"/>
              </w:rPr>
              <w:t>modif</w:t>
            </w:r>
            <w:proofErr w:type="spellEnd"/>
            <w:r>
              <w:rPr>
                <w:rFonts w:eastAsia="SimSun"/>
                <w:lang w:val="en-US" w:eastAsia="zh-CN"/>
              </w:rPr>
              <w:t xml:space="preserve"> has race conditions issues</w:t>
            </w:r>
            <w:r w:rsidR="009D6A10">
              <w:rPr>
                <w:rFonts w:eastAsia="SimSun"/>
                <w:lang w:val="en-US" w:eastAsia="zh-CN"/>
              </w:rPr>
              <w:t xml:space="preserve">, </w:t>
            </w:r>
            <w:proofErr w:type="spellStart"/>
            <w:r w:rsidR="009D6A10">
              <w:rPr>
                <w:rFonts w:eastAsia="SimSun"/>
                <w:lang w:val="en-US" w:eastAsia="zh-CN"/>
              </w:rPr>
              <w:t>etc</w:t>
            </w:r>
            <w:proofErr w:type="spellEnd"/>
            <w:r w:rsidR="009D6A10">
              <w:rPr>
                <w:rFonts w:eastAsia="SimSun"/>
                <w:lang w:val="en-US" w:eastAsia="zh-CN"/>
              </w:rPr>
              <w:t>…</w:t>
            </w:r>
            <w:r>
              <w:rPr>
                <w:rFonts w:eastAsia="SimSun"/>
                <w:lang w:val="en-US" w:eastAsia="zh-CN"/>
              </w:rPr>
              <w:t xml:space="preserve">), which will be carried in rel-17, when RAN2 will probably allow CPC+CHO, because the problem in rel-16 is quite simple (to not say inexistent). OAM is more than enough for now. We are introducing </w:t>
            </w:r>
            <w:r w:rsidR="009D6A10">
              <w:rPr>
                <w:rFonts w:eastAsia="SimSun"/>
                <w:lang w:val="en-US" w:eastAsia="zh-CN"/>
              </w:rPr>
              <w:t xml:space="preserve">complication by </w:t>
            </w:r>
            <w:r>
              <w:rPr>
                <w:rFonts w:eastAsia="SimSun"/>
                <w:lang w:val="en-US" w:eastAsia="zh-CN"/>
              </w:rPr>
              <w:t>trying to solve a problem that might not really exist in rel-16, and which will for sure be solved in rel-17</w:t>
            </w:r>
          </w:p>
        </w:tc>
      </w:tr>
      <w:tr w:rsidR="00D129CC" w14:paraId="6269C5ED" w14:textId="77777777">
        <w:tc>
          <w:tcPr>
            <w:tcW w:w="1413" w:type="dxa"/>
          </w:tcPr>
          <w:p w14:paraId="36DD355B" w14:textId="0140D107" w:rsidR="00D129CC" w:rsidRDefault="00D129CC">
            <w:pPr>
              <w:rPr>
                <w:rFonts w:eastAsiaTheme="minorEastAsia"/>
                <w:lang w:val="en-US" w:eastAsia="zh-CN"/>
              </w:rPr>
            </w:pPr>
            <w:r>
              <w:rPr>
                <w:rFonts w:eastAsiaTheme="minorEastAsia"/>
                <w:lang w:val="en-US" w:eastAsia="zh-CN"/>
              </w:rPr>
              <w:t>QC</w:t>
            </w:r>
          </w:p>
        </w:tc>
        <w:tc>
          <w:tcPr>
            <w:tcW w:w="2977" w:type="dxa"/>
          </w:tcPr>
          <w:p w14:paraId="5F54BA26" w14:textId="3B279DF0" w:rsidR="00D129CC" w:rsidRDefault="006D011A">
            <w:r>
              <w:t>Not need</w:t>
            </w:r>
          </w:p>
        </w:tc>
        <w:tc>
          <w:tcPr>
            <w:tcW w:w="5241" w:type="dxa"/>
          </w:tcPr>
          <w:p w14:paraId="395E75E5" w14:textId="77777777" w:rsidR="006D011A" w:rsidRDefault="006D011A">
            <w:pPr>
              <w:rPr>
                <w:rFonts w:eastAsia="SimSun"/>
                <w:lang w:val="en-US" w:eastAsia="zh-CN"/>
              </w:rPr>
            </w:pPr>
            <w:r>
              <w:rPr>
                <w:rFonts w:eastAsia="SimSun"/>
                <w:lang w:val="en-US" w:eastAsia="zh-CN"/>
              </w:rPr>
              <w:t xml:space="preserve">We can select a solution from section 2.2 (SN asks for CPC execution). </w:t>
            </w:r>
          </w:p>
          <w:p w14:paraId="507638B1" w14:textId="3B4A5449" w:rsidR="00D129CC" w:rsidRDefault="006D011A">
            <w:pPr>
              <w:rPr>
                <w:rFonts w:eastAsia="SimSun"/>
                <w:lang w:val="en-US" w:eastAsia="zh-CN"/>
              </w:rPr>
            </w:pPr>
            <w:r>
              <w:rPr>
                <w:rFonts w:eastAsia="SimSun"/>
                <w:lang w:val="en-US" w:eastAsia="zh-CN"/>
              </w:rPr>
              <w:t xml:space="preserve">Either section 2.1 or section 2.2 solutions can resolve the CHO+CPC </w:t>
            </w:r>
            <w:r w:rsidR="005F5C4D">
              <w:rPr>
                <w:rFonts w:eastAsia="SimSun"/>
                <w:lang w:val="en-US" w:eastAsia="zh-CN"/>
              </w:rPr>
              <w:t xml:space="preserve">racing </w:t>
            </w:r>
            <w:r>
              <w:rPr>
                <w:rFonts w:eastAsia="SimSun"/>
                <w:lang w:val="en-US" w:eastAsia="zh-CN"/>
              </w:rPr>
              <w:t>issue. Robust</w:t>
            </w:r>
            <w:r w:rsidR="005F5C4D">
              <w:rPr>
                <w:rFonts w:eastAsia="SimSun"/>
                <w:lang w:val="en-US" w:eastAsia="zh-CN"/>
              </w:rPr>
              <w:t>ness</w:t>
            </w:r>
            <w:r>
              <w:rPr>
                <w:rFonts w:eastAsia="SimSun"/>
                <w:lang w:val="en-US" w:eastAsia="zh-CN"/>
              </w:rPr>
              <w:t xml:space="preserve"> of MN is more important than SN. So, I assume CHO is more important and more frequent than CPC. Solution 2,2 has least impact and least </w:t>
            </w:r>
            <w:r>
              <w:rPr>
                <w:rFonts w:eastAsia="SimSun"/>
                <w:lang w:val="en-US" w:eastAsia="zh-CN"/>
              </w:rPr>
              <w:lastRenderedPageBreak/>
              <w:t xml:space="preserve">signaling load. </w:t>
            </w:r>
          </w:p>
        </w:tc>
      </w:tr>
      <w:tr w:rsidR="00AD30B5" w14:paraId="071E7845" w14:textId="77777777">
        <w:tc>
          <w:tcPr>
            <w:tcW w:w="1413" w:type="dxa"/>
          </w:tcPr>
          <w:p w14:paraId="0E410990" w14:textId="2C733353" w:rsidR="00AD30B5" w:rsidRDefault="00AD30B5">
            <w:pPr>
              <w:rPr>
                <w:rFonts w:eastAsiaTheme="minorEastAsia"/>
                <w:lang w:val="en-US" w:eastAsia="zh-CN"/>
              </w:rPr>
            </w:pPr>
            <w:proofErr w:type="spellStart"/>
            <w:r>
              <w:rPr>
                <w:rFonts w:eastAsiaTheme="minorEastAsia"/>
                <w:lang w:val="en-US" w:eastAsia="zh-CN"/>
              </w:rPr>
              <w:lastRenderedPageBreak/>
              <w:t>InterDigital</w:t>
            </w:r>
            <w:proofErr w:type="spellEnd"/>
          </w:p>
        </w:tc>
        <w:tc>
          <w:tcPr>
            <w:tcW w:w="2977" w:type="dxa"/>
          </w:tcPr>
          <w:p w14:paraId="70189B52" w14:textId="75838C0D" w:rsidR="00AD30B5" w:rsidRDefault="00AD30B5">
            <w:r>
              <w:t>OAM</w:t>
            </w:r>
          </w:p>
        </w:tc>
        <w:tc>
          <w:tcPr>
            <w:tcW w:w="5241" w:type="dxa"/>
          </w:tcPr>
          <w:p w14:paraId="7B0B99F6" w14:textId="61AADDC2" w:rsidR="00AD30B5" w:rsidRDefault="00AD30B5">
            <w:pPr>
              <w:rPr>
                <w:rFonts w:eastAsia="SimSun"/>
                <w:lang w:val="en-US" w:eastAsia="zh-CN"/>
              </w:rPr>
            </w:pPr>
            <w:r>
              <w:rPr>
                <w:rFonts w:eastAsia="SimSun"/>
                <w:lang w:val="en-US" w:eastAsia="zh-CN"/>
              </w:rPr>
              <w:t xml:space="preserve">We agree with Ericsson that signaling solutions have issues. A full RAN2 solution in release 17 to allow CPC+CHO would be best. </w:t>
            </w:r>
          </w:p>
        </w:tc>
      </w:tr>
    </w:tbl>
    <w:p w14:paraId="468D40BB" w14:textId="77777777" w:rsidR="002F374E" w:rsidRDefault="002F374E"/>
    <w:p w14:paraId="33F9253E" w14:textId="77777777" w:rsidR="002F374E" w:rsidRDefault="009D6A10">
      <w:pPr>
        <w:pStyle w:val="Heading2"/>
      </w:pPr>
      <w:r>
        <w:t>2.2</w:t>
      </w:r>
      <w:r>
        <w:tab/>
        <w:t>The SN asks for CPC execution</w:t>
      </w:r>
    </w:p>
    <w:p w14:paraId="78169728" w14:textId="77777777" w:rsidR="002F374E" w:rsidRDefault="009D6A10">
      <w:r>
        <w:t xml:space="preserve">This solution is based on the assumption that the SN may ask if CPC is allowed. Such approach is proposed in [7] as the only method (without the MN indicating if CPC is allowed) and as a supplementary solution in [13, 16]. </w:t>
      </w:r>
    </w:p>
    <w:tbl>
      <w:tblPr>
        <w:tblStyle w:val="TableGrid"/>
        <w:tblW w:w="9631" w:type="dxa"/>
        <w:tblLayout w:type="fixed"/>
        <w:tblLook w:val="04A0" w:firstRow="1" w:lastRow="0" w:firstColumn="1" w:lastColumn="0" w:noHBand="0" w:noVBand="1"/>
      </w:tblPr>
      <w:tblGrid>
        <w:gridCol w:w="1413"/>
        <w:gridCol w:w="2977"/>
        <w:gridCol w:w="5241"/>
      </w:tblGrid>
      <w:tr w:rsidR="002F374E" w14:paraId="4E9DAF43" w14:textId="77777777">
        <w:trPr>
          <w:tblHeader/>
        </w:trPr>
        <w:tc>
          <w:tcPr>
            <w:tcW w:w="1413" w:type="dxa"/>
            <w:shd w:val="clear" w:color="auto" w:fill="D9D9D9" w:themeFill="background1" w:themeFillShade="D9"/>
          </w:tcPr>
          <w:p w14:paraId="15B1DF5B" w14:textId="77777777" w:rsidR="002F374E" w:rsidRDefault="009D6A10">
            <w:pPr>
              <w:keepNext/>
            </w:pPr>
            <w:r>
              <w:t>Company</w:t>
            </w:r>
          </w:p>
        </w:tc>
        <w:tc>
          <w:tcPr>
            <w:tcW w:w="2977" w:type="dxa"/>
            <w:shd w:val="clear" w:color="auto" w:fill="D9D9D9" w:themeFill="background1" w:themeFillShade="D9"/>
          </w:tcPr>
          <w:p w14:paraId="63D2696B" w14:textId="77777777" w:rsidR="002F374E" w:rsidRDefault="009D6A10">
            <w:pPr>
              <w:keepNext/>
            </w:pPr>
            <w:r>
              <w:t>Preferred form of request</w:t>
            </w:r>
          </w:p>
        </w:tc>
        <w:tc>
          <w:tcPr>
            <w:tcW w:w="5241" w:type="dxa"/>
            <w:shd w:val="clear" w:color="auto" w:fill="D9D9D9" w:themeFill="background1" w:themeFillShade="D9"/>
          </w:tcPr>
          <w:p w14:paraId="1A231307" w14:textId="77777777" w:rsidR="002F374E" w:rsidRDefault="009D6A10">
            <w:pPr>
              <w:keepNext/>
            </w:pPr>
            <w:r>
              <w:t>Comment</w:t>
            </w:r>
          </w:p>
        </w:tc>
      </w:tr>
      <w:tr w:rsidR="002F374E" w14:paraId="524E0057" w14:textId="77777777">
        <w:tc>
          <w:tcPr>
            <w:tcW w:w="1413" w:type="dxa"/>
          </w:tcPr>
          <w:p w14:paraId="12596E44" w14:textId="77777777" w:rsidR="002F374E" w:rsidRDefault="009D6A10">
            <w:r>
              <w:t>Nokia</w:t>
            </w:r>
          </w:p>
        </w:tc>
        <w:tc>
          <w:tcPr>
            <w:tcW w:w="2977" w:type="dxa"/>
          </w:tcPr>
          <w:p w14:paraId="0BE7E0C7" w14:textId="77777777" w:rsidR="002F374E" w:rsidRDefault="009D6A10">
            <w:bookmarkStart w:id="3" w:name="OLE_LINK1"/>
            <w:r>
              <w:t>Not needed</w:t>
            </w:r>
            <w:bookmarkEnd w:id="3"/>
          </w:p>
        </w:tc>
        <w:tc>
          <w:tcPr>
            <w:tcW w:w="5241" w:type="dxa"/>
          </w:tcPr>
          <w:p w14:paraId="59A6DD00" w14:textId="77777777" w:rsidR="002F374E" w:rsidRDefault="009D6A10">
            <w:r>
              <w:t xml:space="preserve">If the MN is enabled to tell the SN when CPC is allowed, it is hardly possible that it would change its mind only because the SN asks for the CPC. </w:t>
            </w:r>
          </w:p>
          <w:p w14:paraId="7179375E" w14:textId="77777777" w:rsidR="002F374E" w:rsidRDefault="009D6A10">
            <w:r>
              <w:t>Furthermore, having a request from the SN as the only solution may delay CPC unnecessarily, which is particularly hard if CPC is executed over SRB3. (Please note, the control from the MN does not delay CHO configuration, because it can be done well in advance; also, the MN does not have to wait for SN’s permission to configure the CHO.)</w:t>
            </w:r>
          </w:p>
        </w:tc>
      </w:tr>
      <w:tr w:rsidR="002F374E" w14:paraId="22ACB66A" w14:textId="77777777">
        <w:tc>
          <w:tcPr>
            <w:tcW w:w="1413" w:type="dxa"/>
          </w:tcPr>
          <w:p w14:paraId="156FF8BA" w14:textId="77777777" w:rsidR="002F374E" w:rsidRDefault="009D6A10">
            <w:r>
              <w:t>INTEL</w:t>
            </w:r>
          </w:p>
        </w:tc>
        <w:tc>
          <w:tcPr>
            <w:tcW w:w="2977" w:type="dxa"/>
          </w:tcPr>
          <w:p w14:paraId="03A5B95D" w14:textId="77777777" w:rsidR="002F374E" w:rsidRDefault="009D6A10">
            <w:r>
              <w:t>Seems needed as well.</w:t>
            </w:r>
          </w:p>
        </w:tc>
        <w:tc>
          <w:tcPr>
            <w:tcW w:w="5241" w:type="dxa"/>
          </w:tcPr>
          <w:p w14:paraId="07C4C455" w14:textId="77777777" w:rsidR="002F374E" w:rsidRDefault="009D6A10">
            <w:r>
              <w:t>The solution in Section 2.1 does not cover the case when the MN receives SN MOD REQD including CPC when it decides to do CHO but before changing the status to “CPC not allowed”. The MN should be able to reject this SN-initiated SN modification.</w:t>
            </w:r>
          </w:p>
        </w:tc>
      </w:tr>
      <w:tr w:rsidR="002F374E" w14:paraId="63B1D9EB" w14:textId="77777777">
        <w:tc>
          <w:tcPr>
            <w:tcW w:w="1413" w:type="dxa"/>
          </w:tcPr>
          <w:p w14:paraId="56DEC990" w14:textId="77777777" w:rsidR="002F374E" w:rsidRDefault="009D6A10">
            <w:r>
              <w:t>Google</w:t>
            </w:r>
          </w:p>
        </w:tc>
        <w:tc>
          <w:tcPr>
            <w:tcW w:w="2977" w:type="dxa"/>
          </w:tcPr>
          <w:p w14:paraId="3BE776F9" w14:textId="77777777" w:rsidR="002F374E" w:rsidRDefault="009D6A10">
            <w:r>
              <w:t>Seems needed as well</w:t>
            </w:r>
          </w:p>
        </w:tc>
        <w:tc>
          <w:tcPr>
            <w:tcW w:w="5241" w:type="dxa"/>
          </w:tcPr>
          <w:p w14:paraId="39CC0A3F" w14:textId="77777777" w:rsidR="002F374E" w:rsidRDefault="009D6A10">
            <w:r>
              <w:t xml:space="preserve">Regarding the CPC over SRB3 case, if there is no indication from SN that a CPC is configured, after announcing that CPC is allowed, the MN may only avoid configuring CHO at all time to prevent from possible simultaneous CHO and CPC configuration. </w:t>
            </w:r>
          </w:p>
        </w:tc>
      </w:tr>
      <w:tr w:rsidR="002F374E" w14:paraId="7F623EEE" w14:textId="77777777">
        <w:tc>
          <w:tcPr>
            <w:tcW w:w="1413" w:type="dxa"/>
          </w:tcPr>
          <w:p w14:paraId="3901EDB4" w14:textId="77777777" w:rsidR="002F374E" w:rsidRDefault="009D6A10">
            <w:pPr>
              <w:rPr>
                <w:rFonts w:eastAsiaTheme="minorEastAsia"/>
                <w:lang w:eastAsia="zh-CN"/>
              </w:rPr>
            </w:pPr>
            <w:r>
              <w:rPr>
                <w:rFonts w:eastAsiaTheme="minorEastAsia" w:hint="eastAsia"/>
                <w:lang w:eastAsia="zh-CN"/>
              </w:rPr>
              <w:t>CATT</w:t>
            </w:r>
          </w:p>
        </w:tc>
        <w:tc>
          <w:tcPr>
            <w:tcW w:w="2977" w:type="dxa"/>
          </w:tcPr>
          <w:p w14:paraId="1A08EA5C" w14:textId="77777777" w:rsidR="002F374E" w:rsidRDefault="009D6A10">
            <w:r>
              <w:rPr>
                <w:rFonts w:eastAsiaTheme="minorEastAsia"/>
                <w:lang w:eastAsia="zh-CN"/>
              </w:rPr>
              <w:t>I</w:t>
            </w:r>
            <w:r>
              <w:rPr>
                <w:rFonts w:eastAsiaTheme="minorEastAsia" w:hint="eastAsia"/>
                <w:lang w:eastAsia="zh-CN"/>
              </w:rPr>
              <w:t xml:space="preserve">t  is helpful </w:t>
            </w:r>
            <w:r>
              <w:t>as a supplementary</w:t>
            </w:r>
          </w:p>
        </w:tc>
        <w:tc>
          <w:tcPr>
            <w:tcW w:w="5241" w:type="dxa"/>
          </w:tcPr>
          <w:p w14:paraId="63138856" w14:textId="77777777" w:rsidR="002F374E" w:rsidRDefault="009D6A10">
            <w:pPr>
              <w:rPr>
                <w:rFonts w:eastAsiaTheme="minorEastAsia"/>
                <w:lang w:eastAsia="zh-CN"/>
              </w:rPr>
            </w:pPr>
            <w:r>
              <w:rPr>
                <w:rFonts w:eastAsiaTheme="minorEastAsia"/>
                <w:lang w:eastAsia="zh-CN"/>
              </w:rPr>
              <w:t>S</w:t>
            </w:r>
            <w:r>
              <w:rPr>
                <w:rFonts w:eastAsiaTheme="minorEastAsia" w:hint="eastAsia"/>
                <w:lang w:eastAsia="zh-CN"/>
              </w:rPr>
              <w:t>ee the answer for 2.1</w:t>
            </w:r>
            <w:r>
              <w:t>.</w:t>
            </w:r>
          </w:p>
        </w:tc>
      </w:tr>
      <w:tr w:rsidR="002F374E" w14:paraId="1E8B8FFC" w14:textId="77777777">
        <w:tc>
          <w:tcPr>
            <w:tcW w:w="1413" w:type="dxa"/>
          </w:tcPr>
          <w:p w14:paraId="77151BAE" w14:textId="77777777" w:rsidR="002F374E" w:rsidRPr="00F3607B" w:rsidRDefault="009D6A10">
            <w:pPr>
              <w:rPr>
                <w:rFonts w:eastAsia="DengXian"/>
                <w:lang w:eastAsia="zh-CN"/>
              </w:rPr>
            </w:pPr>
            <w:r>
              <w:rPr>
                <w:rFonts w:eastAsia="DengXian" w:hint="eastAsia"/>
                <w:lang w:eastAsia="zh-CN"/>
              </w:rPr>
              <w:t>H</w:t>
            </w:r>
            <w:r>
              <w:rPr>
                <w:rFonts w:eastAsia="DengXian"/>
                <w:lang w:eastAsia="zh-CN"/>
              </w:rPr>
              <w:t>uawei</w:t>
            </w:r>
          </w:p>
        </w:tc>
        <w:tc>
          <w:tcPr>
            <w:tcW w:w="2977" w:type="dxa"/>
          </w:tcPr>
          <w:p w14:paraId="7FD3DFB6" w14:textId="77777777" w:rsidR="002F374E" w:rsidRPr="00F3607B" w:rsidRDefault="009D6A10">
            <w:pPr>
              <w:rPr>
                <w:rFonts w:eastAsia="DengXian"/>
                <w:lang w:eastAsia="zh-CN"/>
              </w:rPr>
            </w:pPr>
            <w:r>
              <w:rPr>
                <w:rFonts w:eastAsia="DengXian" w:hint="eastAsia"/>
                <w:lang w:eastAsia="zh-CN"/>
              </w:rPr>
              <w:t>n</w:t>
            </w:r>
            <w:r>
              <w:rPr>
                <w:rFonts w:eastAsia="DengXian"/>
                <w:lang w:eastAsia="zh-CN"/>
              </w:rPr>
              <w:t>eeded</w:t>
            </w:r>
          </w:p>
        </w:tc>
        <w:tc>
          <w:tcPr>
            <w:tcW w:w="5241" w:type="dxa"/>
          </w:tcPr>
          <w:p w14:paraId="7E3A52E8" w14:textId="77777777" w:rsidR="002F374E" w:rsidRPr="00F3607B" w:rsidRDefault="009D6A10">
            <w:pPr>
              <w:rPr>
                <w:rFonts w:eastAsia="DengXian"/>
                <w:lang w:eastAsia="zh-CN"/>
              </w:rPr>
            </w:pPr>
            <w:r>
              <w:rPr>
                <w:rFonts w:eastAsia="DengXian"/>
                <w:lang w:eastAsia="zh-CN"/>
              </w:rPr>
              <w:t>if SRB3 used for CPC configuration. Cause value may be sufficient to reject the request from SN as what we proposed in our document.</w:t>
            </w:r>
          </w:p>
        </w:tc>
      </w:tr>
      <w:tr w:rsidR="002F374E" w14:paraId="6BFA6941" w14:textId="77777777">
        <w:tc>
          <w:tcPr>
            <w:tcW w:w="1413" w:type="dxa"/>
          </w:tcPr>
          <w:p w14:paraId="6B1F7A34" w14:textId="77777777" w:rsidR="002F374E" w:rsidRDefault="009D6A10">
            <w:pPr>
              <w:rPr>
                <w:rFonts w:eastAsia="DengXian"/>
                <w:lang w:eastAsia="zh-CN"/>
              </w:rPr>
            </w:pPr>
            <w:r>
              <w:rPr>
                <w:rFonts w:eastAsiaTheme="minorEastAsia" w:hint="eastAsia"/>
                <w:lang w:val="en-US" w:eastAsia="zh-CN"/>
              </w:rPr>
              <w:t>ZTE</w:t>
            </w:r>
          </w:p>
        </w:tc>
        <w:tc>
          <w:tcPr>
            <w:tcW w:w="2977" w:type="dxa"/>
          </w:tcPr>
          <w:p w14:paraId="31A01DEB" w14:textId="77777777" w:rsidR="002F374E" w:rsidRDefault="009D6A10">
            <w:pPr>
              <w:rPr>
                <w:rFonts w:eastAsia="SimSun"/>
                <w:lang w:val="en-US" w:eastAsia="zh-CN"/>
              </w:rPr>
            </w:pPr>
            <w:r>
              <w:t>Not needed</w:t>
            </w:r>
            <w:r>
              <w:rPr>
                <w:rFonts w:eastAsia="SimSun" w:hint="eastAsia"/>
                <w:lang w:val="en-US" w:eastAsia="zh-CN"/>
              </w:rPr>
              <w:t xml:space="preserve"> for Rel-16.</w:t>
            </w:r>
          </w:p>
        </w:tc>
        <w:tc>
          <w:tcPr>
            <w:tcW w:w="5241" w:type="dxa"/>
          </w:tcPr>
          <w:p w14:paraId="66A8921E" w14:textId="77777777" w:rsidR="002F374E" w:rsidRDefault="009D6A10">
            <w:pPr>
              <w:rPr>
                <w:rFonts w:eastAsia="DengXian"/>
                <w:lang w:eastAsia="zh-CN"/>
              </w:rPr>
            </w:pPr>
            <w:r>
              <w:rPr>
                <w:rFonts w:eastAsiaTheme="minorEastAsia" w:hint="eastAsia"/>
                <w:lang w:val="en-US" w:eastAsia="zh-CN"/>
              </w:rPr>
              <w:t xml:space="preserve">This issue is also related to CPC </w:t>
            </w:r>
            <w:proofErr w:type="spellStart"/>
            <w:r>
              <w:rPr>
                <w:rFonts w:eastAsiaTheme="minorEastAsia" w:hint="eastAsia"/>
                <w:lang w:val="en-US" w:eastAsia="zh-CN"/>
              </w:rPr>
              <w:t>negociation</w:t>
            </w:r>
            <w:proofErr w:type="spellEnd"/>
            <w:r>
              <w:rPr>
                <w:rFonts w:eastAsiaTheme="minorEastAsia" w:hint="eastAsia"/>
                <w:lang w:val="en-US" w:eastAsia="zh-CN"/>
              </w:rPr>
              <w:t xml:space="preserve"> between MN and SN, which can be discussed in wider scope and specified in Rel-17.</w:t>
            </w:r>
          </w:p>
        </w:tc>
      </w:tr>
      <w:tr w:rsidR="00D129CC" w14:paraId="50E6293B" w14:textId="77777777">
        <w:tc>
          <w:tcPr>
            <w:tcW w:w="1413" w:type="dxa"/>
          </w:tcPr>
          <w:p w14:paraId="74DB9780" w14:textId="34EBAE10" w:rsidR="00D129CC" w:rsidRDefault="00D129CC">
            <w:pPr>
              <w:rPr>
                <w:rFonts w:eastAsiaTheme="minorEastAsia"/>
                <w:lang w:val="en-US" w:eastAsia="zh-CN"/>
              </w:rPr>
            </w:pPr>
            <w:r>
              <w:rPr>
                <w:rFonts w:eastAsiaTheme="minorEastAsia"/>
                <w:lang w:val="en-US" w:eastAsia="zh-CN"/>
              </w:rPr>
              <w:t>QC</w:t>
            </w:r>
          </w:p>
        </w:tc>
        <w:tc>
          <w:tcPr>
            <w:tcW w:w="2977" w:type="dxa"/>
          </w:tcPr>
          <w:p w14:paraId="27501073" w14:textId="68C16842" w:rsidR="00D129CC" w:rsidRDefault="006D011A">
            <w:r>
              <w:t>Needed</w:t>
            </w:r>
          </w:p>
        </w:tc>
        <w:tc>
          <w:tcPr>
            <w:tcW w:w="5241" w:type="dxa"/>
          </w:tcPr>
          <w:p w14:paraId="19A073A4" w14:textId="77777777" w:rsidR="005F5C4D" w:rsidRDefault="006D011A">
            <w:pPr>
              <w:rPr>
                <w:rFonts w:eastAsiaTheme="minorEastAsia"/>
                <w:lang w:val="en-US" w:eastAsia="zh-CN"/>
              </w:rPr>
            </w:pPr>
            <w:r>
              <w:rPr>
                <w:rFonts w:eastAsiaTheme="minorEastAsia"/>
                <w:lang w:val="en-US" w:eastAsia="zh-CN"/>
              </w:rPr>
              <w:t xml:space="preserve">As answered in section 2.1. This solution has least cost. </w:t>
            </w:r>
          </w:p>
          <w:p w14:paraId="4593C480" w14:textId="24061D58" w:rsidR="00D129CC" w:rsidRDefault="006D011A">
            <w:pPr>
              <w:rPr>
                <w:rFonts w:eastAsiaTheme="minorEastAsia"/>
                <w:lang w:val="en-US" w:eastAsia="zh-CN"/>
              </w:rPr>
            </w:pPr>
            <w:r>
              <w:rPr>
                <w:rFonts w:eastAsiaTheme="minorEastAsia"/>
                <w:lang w:val="en-US" w:eastAsia="zh-CN"/>
              </w:rPr>
              <w:t xml:space="preserve">One additional benefit is: for the CPC which may impact the UE capability sharing, band combination </w:t>
            </w:r>
            <w:r w:rsidR="005F5C4D">
              <w:rPr>
                <w:rFonts w:eastAsiaTheme="minorEastAsia"/>
                <w:lang w:val="en-US" w:eastAsia="zh-CN"/>
              </w:rPr>
              <w:t>and power control</w:t>
            </w:r>
            <w:r>
              <w:rPr>
                <w:rFonts w:eastAsiaTheme="minorEastAsia"/>
                <w:lang w:val="en-US" w:eastAsia="zh-CN"/>
              </w:rPr>
              <w:t>, the MN has chance to check and confirm.</w:t>
            </w:r>
          </w:p>
        </w:tc>
      </w:tr>
    </w:tbl>
    <w:p w14:paraId="00A4D316" w14:textId="77777777" w:rsidR="002F374E" w:rsidRDefault="002F374E">
      <w:pPr>
        <w:rPr>
          <w:rFonts w:eastAsia="DengXian"/>
          <w:lang w:eastAsia="zh-CN"/>
        </w:rPr>
      </w:pPr>
    </w:p>
    <w:p w14:paraId="6DE70340" w14:textId="284AB648" w:rsidR="002F374E" w:rsidRDefault="009D6A10">
      <w:pPr>
        <w:pStyle w:val="Heading1"/>
      </w:pPr>
      <w:r>
        <w:lastRenderedPageBreak/>
        <w:t>3</w:t>
      </w:r>
      <w:r>
        <w:tab/>
        <w:t>Conclusions</w:t>
      </w:r>
      <w:r w:rsidR="00F3607B">
        <w:t xml:space="preserve"> and proposal for the meeting notes</w:t>
      </w:r>
    </w:p>
    <w:p w14:paraId="64185569" w14:textId="2B20FEB3" w:rsidR="00ED51B3" w:rsidRDefault="00ED51B3" w:rsidP="00ED51B3">
      <w:bookmarkStart w:id="4" w:name="_Hlk38996434"/>
      <w:r>
        <w:t>Majority companies preferred signalling-based solution:</w:t>
      </w:r>
    </w:p>
    <w:p w14:paraId="599D1D45" w14:textId="77777777" w:rsidR="008818E0" w:rsidRDefault="008818E0" w:rsidP="00ED51B3">
      <w:pPr>
        <w:pStyle w:val="ListParagraph"/>
        <w:numPr>
          <w:ilvl w:val="0"/>
          <w:numId w:val="2"/>
        </w:numPr>
      </w:pPr>
      <w:r>
        <w:t>6</w:t>
      </w:r>
      <w:r w:rsidR="00ED51B3">
        <w:t xml:space="preserve"> companies consider the MN shall indicate to the SN when CPC is not allowed to be configured (in the Mod Req, Add Req is FFS);</w:t>
      </w:r>
      <w:r>
        <w:t xml:space="preserve"> </w:t>
      </w:r>
    </w:p>
    <w:p w14:paraId="2F03CB63" w14:textId="31B90587" w:rsidR="00ED51B3" w:rsidRDefault="008818E0" w:rsidP="00ED51B3">
      <w:pPr>
        <w:pStyle w:val="ListParagraph"/>
        <w:numPr>
          <w:ilvl w:val="0"/>
          <w:numId w:val="2"/>
        </w:numPr>
      </w:pPr>
      <w:r>
        <w:t>4 consider also that also SN-originated request is helpful, while only 1 company considers that only SN-originated signaling is sufficient;</w:t>
      </w:r>
    </w:p>
    <w:bookmarkEnd w:id="4"/>
    <w:p w14:paraId="7D9BD26B" w14:textId="553FB51B" w:rsidR="00701676" w:rsidRDefault="00ED51B3" w:rsidP="00ED51B3">
      <w:r>
        <w:t xml:space="preserve">However, 2 companies objected to this claiming OAM is the best option for Rel.16. </w:t>
      </w:r>
    </w:p>
    <w:p w14:paraId="0813BB8E" w14:textId="77777777" w:rsidR="00F3607B" w:rsidRDefault="00F3607B" w:rsidP="00ED51B3"/>
    <w:p w14:paraId="2CF219EE" w14:textId="77777777" w:rsidR="00BA43B6" w:rsidRPr="00F3607B" w:rsidRDefault="00BA43B6" w:rsidP="00BA43B6">
      <w:pPr>
        <w:rPr>
          <w:b/>
          <w:bCs/>
        </w:rPr>
      </w:pPr>
      <w:r w:rsidRPr="00F3607B">
        <w:rPr>
          <w:b/>
          <w:bCs/>
        </w:rPr>
        <w:t>To be captured:</w:t>
      </w:r>
    </w:p>
    <w:p w14:paraId="4F667F84" w14:textId="5AB5E958" w:rsidR="00701676" w:rsidRPr="00BA43B6" w:rsidRDefault="00701676" w:rsidP="00ED51B3">
      <w:pPr>
        <w:rPr>
          <w:b/>
          <w:bCs/>
          <w:color w:val="00B050"/>
        </w:rPr>
      </w:pPr>
      <w:r w:rsidRPr="00BA43B6">
        <w:rPr>
          <w:b/>
          <w:bCs/>
          <w:color w:val="00B050"/>
        </w:rPr>
        <w:t>RAN3 agrees to address RAN2’s request to avoid CHO and CPC configuration in the UE.</w:t>
      </w:r>
    </w:p>
    <w:p w14:paraId="0FC5C238" w14:textId="7F4E9FBC" w:rsidR="00BA43B6" w:rsidRPr="00BA43B6" w:rsidRDefault="00941455" w:rsidP="00ED51B3">
      <w:pPr>
        <w:rPr>
          <w:b/>
          <w:bCs/>
          <w:color w:val="00B050"/>
        </w:rPr>
      </w:pPr>
      <w:r w:rsidRPr="00BA43B6">
        <w:rPr>
          <w:b/>
          <w:bCs/>
          <w:color w:val="00B050"/>
        </w:rPr>
        <w:t>R3-202762</w:t>
      </w:r>
      <w:r>
        <w:rPr>
          <w:b/>
          <w:bCs/>
          <w:color w:val="00B050"/>
        </w:rPr>
        <w:t xml:space="preserve"> (</w:t>
      </w:r>
      <w:r w:rsidR="00BA43B6" w:rsidRPr="00BA43B6">
        <w:rPr>
          <w:b/>
          <w:bCs/>
          <w:color w:val="00B050"/>
        </w:rPr>
        <w:t>TP to BL CR for TS37340</w:t>
      </w:r>
      <w:r>
        <w:rPr>
          <w:b/>
          <w:bCs/>
          <w:color w:val="00B050"/>
        </w:rPr>
        <w:t>)</w:t>
      </w:r>
      <w:r w:rsidR="00BA43B6" w:rsidRPr="00BA43B6">
        <w:rPr>
          <w:b/>
          <w:bCs/>
          <w:color w:val="00B050"/>
        </w:rPr>
        <w:t xml:space="preserve"> to be </w:t>
      </w:r>
      <w:r w:rsidR="00BF2285">
        <w:rPr>
          <w:b/>
          <w:bCs/>
          <w:color w:val="00B050"/>
        </w:rPr>
        <w:t>endorsed</w:t>
      </w:r>
    </w:p>
    <w:p w14:paraId="5274AAC8" w14:textId="34BC67F9" w:rsidR="002F374E" w:rsidRPr="00BA43B6" w:rsidRDefault="00701676" w:rsidP="00ED51B3">
      <w:pPr>
        <w:rPr>
          <w:b/>
          <w:bCs/>
          <w:color w:val="4472C4" w:themeColor="accent1"/>
        </w:rPr>
      </w:pPr>
      <w:r w:rsidRPr="00BA43B6">
        <w:rPr>
          <w:b/>
          <w:bCs/>
          <w:color w:val="4472C4" w:themeColor="accent1"/>
        </w:rPr>
        <w:t>T</w:t>
      </w:r>
      <w:r w:rsidR="00ED51B3" w:rsidRPr="00BA43B6">
        <w:rPr>
          <w:b/>
          <w:bCs/>
          <w:color w:val="4472C4" w:themeColor="accent1"/>
        </w:rPr>
        <w:t xml:space="preserve">he discussion </w:t>
      </w:r>
      <w:r w:rsidRPr="00BA43B6">
        <w:rPr>
          <w:b/>
          <w:bCs/>
          <w:color w:val="4472C4" w:themeColor="accent1"/>
        </w:rPr>
        <w:t>if OAM or signalling-based solution (a</w:t>
      </w:r>
      <w:bookmarkStart w:id="5" w:name="_GoBack"/>
      <w:bookmarkEnd w:id="5"/>
      <w:r w:rsidRPr="00BA43B6">
        <w:rPr>
          <w:b/>
          <w:bCs/>
          <w:color w:val="4472C4" w:themeColor="accent1"/>
        </w:rPr>
        <w:t>nd possibly on the details of the latter) is to be continued at the next meeting.</w:t>
      </w:r>
    </w:p>
    <w:p w14:paraId="60C8904C" w14:textId="77777777" w:rsidR="002F374E" w:rsidRDefault="009D6A10">
      <w:pPr>
        <w:pStyle w:val="Heading1"/>
      </w:pPr>
      <w:r>
        <w:t>References</w:t>
      </w:r>
    </w:p>
    <w:p w14:paraId="0954A50E" w14:textId="77777777" w:rsidR="002F374E" w:rsidRDefault="009D6A10">
      <w:pPr>
        <w:numPr>
          <w:ilvl w:val="0"/>
          <w:numId w:val="1"/>
        </w:numPr>
        <w:overflowPunct w:val="0"/>
        <w:autoSpaceDE w:val="0"/>
        <w:autoSpaceDN w:val="0"/>
        <w:adjustRightInd w:val="0"/>
        <w:textAlignment w:val="baseline"/>
        <w:rPr>
          <w:lang w:val="en-US"/>
        </w:rPr>
      </w:pPr>
      <w:r>
        <w:t>R2-2001764, RAN2 #109-e / R3-201511, RAN3 #107-bis-e</w:t>
      </w:r>
    </w:p>
    <w:p w14:paraId="0F4CBDB7" w14:textId="78EC6AC9" w:rsidR="002F374E" w:rsidRDefault="009D6A10">
      <w:pPr>
        <w:numPr>
          <w:ilvl w:val="0"/>
          <w:numId w:val="1"/>
        </w:numPr>
      </w:pPr>
      <w:r w:rsidRPr="007656A6">
        <w:t>R3-201656</w:t>
      </w:r>
      <w:r>
        <w:t>, RAN3 #107-bis-e</w:t>
      </w:r>
    </w:p>
    <w:p w14:paraId="0E16CEBB" w14:textId="77777777" w:rsidR="002F374E" w:rsidRDefault="009D6A10">
      <w:pPr>
        <w:numPr>
          <w:ilvl w:val="0"/>
          <w:numId w:val="1"/>
        </w:numPr>
      </w:pPr>
      <w:r>
        <w:t>R3-201657, RAN3 #107-bis-e</w:t>
      </w:r>
    </w:p>
    <w:p w14:paraId="1C0586B8" w14:textId="77777777" w:rsidR="002F374E" w:rsidRDefault="009D6A10">
      <w:pPr>
        <w:numPr>
          <w:ilvl w:val="0"/>
          <w:numId w:val="1"/>
        </w:numPr>
      </w:pPr>
      <w:r>
        <w:t>R3-201658, RAN3 #107-bis-e</w:t>
      </w:r>
    </w:p>
    <w:p w14:paraId="1B0E0FD2" w14:textId="77777777" w:rsidR="002F374E" w:rsidRDefault="009D6A10">
      <w:pPr>
        <w:numPr>
          <w:ilvl w:val="0"/>
          <w:numId w:val="1"/>
        </w:numPr>
      </w:pPr>
      <w:r>
        <w:t>R3-201659, RAN3 #107-bis-e</w:t>
      </w:r>
    </w:p>
    <w:p w14:paraId="0581B001" w14:textId="77777777" w:rsidR="002F374E" w:rsidRDefault="009D6A10">
      <w:pPr>
        <w:numPr>
          <w:ilvl w:val="0"/>
          <w:numId w:val="1"/>
        </w:numPr>
      </w:pPr>
      <w:r>
        <w:t>R3-201798, RAN3 #107-bis-e</w:t>
      </w:r>
    </w:p>
    <w:p w14:paraId="5B49B921" w14:textId="77777777" w:rsidR="002F374E" w:rsidRDefault="009D6A10">
      <w:pPr>
        <w:numPr>
          <w:ilvl w:val="0"/>
          <w:numId w:val="1"/>
        </w:numPr>
      </w:pPr>
      <w:r>
        <w:t>R3-201876, RAN3 #107-bis-e</w:t>
      </w:r>
    </w:p>
    <w:p w14:paraId="36500B9E" w14:textId="77777777" w:rsidR="002F374E" w:rsidRDefault="009D6A10">
      <w:pPr>
        <w:numPr>
          <w:ilvl w:val="0"/>
          <w:numId w:val="1"/>
        </w:numPr>
      </w:pPr>
      <w:r>
        <w:t>R3-201877, RAN3 #107-bis-e</w:t>
      </w:r>
    </w:p>
    <w:p w14:paraId="37DA8411" w14:textId="77777777" w:rsidR="002F374E" w:rsidRDefault="009D6A10">
      <w:pPr>
        <w:numPr>
          <w:ilvl w:val="0"/>
          <w:numId w:val="1"/>
        </w:numPr>
      </w:pPr>
      <w:r>
        <w:t>R3-201878, RAN3 #107-bis-e</w:t>
      </w:r>
    </w:p>
    <w:p w14:paraId="55094795" w14:textId="77777777" w:rsidR="002F374E" w:rsidRDefault="009D6A10">
      <w:pPr>
        <w:numPr>
          <w:ilvl w:val="0"/>
          <w:numId w:val="1"/>
        </w:numPr>
      </w:pPr>
      <w:r>
        <w:t>R3-201890, RAN3 #107-bis-e</w:t>
      </w:r>
    </w:p>
    <w:p w14:paraId="600BFCF0" w14:textId="77777777" w:rsidR="002F374E" w:rsidRDefault="009D6A10">
      <w:pPr>
        <w:numPr>
          <w:ilvl w:val="0"/>
          <w:numId w:val="1"/>
        </w:numPr>
      </w:pPr>
      <w:r>
        <w:t>R3-201891, RAN3 #107-bis-e</w:t>
      </w:r>
    </w:p>
    <w:p w14:paraId="46F36CE9" w14:textId="77777777" w:rsidR="002F374E" w:rsidRDefault="009D6A10">
      <w:pPr>
        <w:numPr>
          <w:ilvl w:val="0"/>
          <w:numId w:val="1"/>
        </w:numPr>
      </w:pPr>
      <w:r>
        <w:t>R3-201892, RAN3 #107-bis-e</w:t>
      </w:r>
    </w:p>
    <w:p w14:paraId="03A60BCD" w14:textId="77777777" w:rsidR="002F374E" w:rsidRDefault="009D6A10">
      <w:pPr>
        <w:numPr>
          <w:ilvl w:val="0"/>
          <w:numId w:val="1"/>
        </w:numPr>
      </w:pPr>
      <w:r>
        <w:t>R3-201946, RAN3 #107-bis-e</w:t>
      </w:r>
    </w:p>
    <w:p w14:paraId="141F7332" w14:textId="77777777" w:rsidR="002F374E" w:rsidRDefault="009D6A10">
      <w:pPr>
        <w:numPr>
          <w:ilvl w:val="0"/>
          <w:numId w:val="1"/>
        </w:numPr>
      </w:pPr>
      <w:r>
        <w:t>R3-201947, RAN3 #107-bis-e</w:t>
      </w:r>
    </w:p>
    <w:p w14:paraId="1592EFBA" w14:textId="77777777" w:rsidR="002F374E" w:rsidRDefault="009D6A10">
      <w:pPr>
        <w:numPr>
          <w:ilvl w:val="0"/>
          <w:numId w:val="1"/>
        </w:numPr>
      </w:pPr>
      <w:r>
        <w:t>R3-201948, RAN3 #107-bis-e</w:t>
      </w:r>
    </w:p>
    <w:p w14:paraId="41036CA4" w14:textId="77777777" w:rsidR="002F374E" w:rsidRDefault="009D6A10">
      <w:pPr>
        <w:numPr>
          <w:ilvl w:val="0"/>
          <w:numId w:val="1"/>
        </w:numPr>
      </w:pPr>
      <w:r>
        <w:t>R3-202243, RAN3 #107-bis-e</w:t>
      </w:r>
    </w:p>
    <w:p w14:paraId="3B6BA0A7" w14:textId="77777777" w:rsidR="002F374E" w:rsidRDefault="002F374E">
      <w:pPr>
        <w:overflowPunct w:val="0"/>
        <w:autoSpaceDE w:val="0"/>
        <w:autoSpaceDN w:val="0"/>
        <w:adjustRightInd w:val="0"/>
        <w:textAlignment w:val="baseline"/>
      </w:pPr>
    </w:p>
    <w:sectPr w:rsidR="002F374E">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DF673" w14:textId="77777777" w:rsidR="00566139" w:rsidRDefault="00566139" w:rsidP="00ED51B3">
      <w:pPr>
        <w:spacing w:after="0" w:line="240" w:lineRule="auto"/>
      </w:pPr>
      <w:r>
        <w:separator/>
      </w:r>
    </w:p>
  </w:endnote>
  <w:endnote w:type="continuationSeparator" w:id="0">
    <w:p w14:paraId="15E14518" w14:textId="77777777" w:rsidR="00566139" w:rsidRDefault="00566139" w:rsidP="00ED5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ËÎĚĺ"/>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BB587" w14:textId="77777777" w:rsidR="00566139" w:rsidRDefault="00566139" w:rsidP="00ED51B3">
      <w:pPr>
        <w:spacing w:after="0" w:line="240" w:lineRule="auto"/>
      </w:pPr>
      <w:r>
        <w:separator/>
      </w:r>
    </w:p>
  </w:footnote>
  <w:footnote w:type="continuationSeparator" w:id="0">
    <w:p w14:paraId="0F14F9D9" w14:textId="77777777" w:rsidR="00566139" w:rsidRDefault="00566139" w:rsidP="00ED51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D5888"/>
    <w:multiLevelType w:val="multilevel"/>
    <w:tmpl w:val="033D5888"/>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38455D04"/>
    <w:multiLevelType w:val="hybridMultilevel"/>
    <w:tmpl w:val="445A7E26"/>
    <w:lvl w:ilvl="0" w:tplc="D06AFA76">
      <w:start w:val="3"/>
      <w:numFmt w:val="bullet"/>
      <w:lvlText w:val=""/>
      <w:lvlJc w:val="left"/>
      <w:pPr>
        <w:ind w:left="720" w:hanging="360"/>
      </w:pPr>
      <w:rPr>
        <w:rFonts w:ascii="Symbol" w:eastAsia="Yu Mincho"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00EBB"/>
    <w:rsid w:val="00001EA9"/>
    <w:rsid w:val="00003B2C"/>
    <w:rsid w:val="00005C0A"/>
    <w:rsid w:val="00006C9E"/>
    <w:rsid w:val="00007340"/>
    <w:rsid w:val="00007B94"/>
    <w:rsid w:val="00010708"/>
    <w:rsid w:val="00012ED2"/>
    <w:rsid w:val="000149CB"/>
    <w:rsid w:val="00017509"/>
    <w:rsid w:val="00017E54"/>
    <w:rsid w:val="0002700F"/>
    <w:rsid w:val="000304FC"/>
    <w:rsid w:val="00031BD6"/>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2FC2"/>
    <w:rsid w:val="000B4278"/>
    <w:rsid w:val="000B53A8"/>
    <w:rsid w:val="000B7558"/>
    <w:rsid w:val="000B7BCF"/>
    <w:rsid w:val="000C00D3"/>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BA2"/>
    <w:rsid w:val="000F4EBF"/>
    <w:rsid w:val="000F551E"/>
    <w:rsid w:val="000F68F3"/>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308CC"/>
    <w:rsid w:val="001326A8"/>
    <w:rsid w:val="00132931"/>
    <w:rsid w:val="00132C93"/>
    <w:rsid w:val="001335E3"/>
    <w:rsid w:val="00135755"/>
    <w:rsid w:val="0013680F"/>
    <w:rsid w:val="00140A8D"/>
    <w:rsid w:val="00140AF7"/>
    <w:rsid w:val="00141F05"/>
    <w:rsid w:val="00145033"/>
    <w:rsid w:val="001450A6"/>
    <w:rsid w:val="0014626D"/>
    <w:rsid w:val="0014785F"/>
    <w:rsid w:val="001509F1"/>
    <w:rsid w:val="00151A61"/>
    <w:rsid w:val="00155D37"/>
    <w:rsid w:val="00155F1B"/>
    <w:rsid w:val="0015684E"/>
    <w:rsid w:val="001577BF"/>
    <w:rsid w:val="001609C9"/>
    <w:rsid w:val="00161BDD"/>
    <w:rsid w:val="001624A3"/>
    <w:rsid w:val="001629A8"/>
    <w:rsid w:val="00163D66"/>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825"/>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2E89"/>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43DD"/>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7306"/>
    <w:rsid w:val="00237407"/>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449E"/>
    <w:rsid w:val="002A57F7"/>
    <w:rsid w:val="002A6219"/>
    <w:rsid w:val="002A75A3"/>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36A6"/>
    <w:rsid w:val="002E4FF6"/>
    <w:rsid w:val="002E57E8"/>
    <w:rsid w:val="002E66E8"/>
    <w:rsid w:val="002E6CDE"/>
    <w:rsid w:val="002F0C0B"/>
    <w:rsid w:val="002F0C28"/>
    <w:rsid w:val="002F0D22"/>
    <w:rsid w:val="002F1207"/>
    <w:rsid w:val="002F2360"/>
    <w:rsid w:val="002F2626"/>
    <w:rsid w:val="002F374E"/>
    <w:rsid w:val="002F3A38"/>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3EDF"/>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159F"/>
    <w:rsid w:val="0039304A"/>
    <w:rsid w:val="003942E3"/>
    <w:rsid w:val="003953AB"/>
    <w:rsid w:val="00395FDA"/>
    <w:rsid w:val="00396C96"/>
    <w:rsid w:val="003976C3"/>
    <w:rsid w:val="00397B6C"/>
    <w:rsid w:val="003A68D5"/>
    <w:rsid w:val="003B2140"/>
    <w:rsid w:val="003B50E1"/>
    <w:rsid w:val="003B600A"/>
    <w:rsid w:val="003B6B71"/>
    <w:rsid w:val="003B7A14"/>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2596"/>
    <w:rsid w:val="004B4758"/>
    <w:rsid w:val="004B7849"/>
    <w:rsid w:val="004C206C"/>
    <w:rsid w:val="004C3944"/>
    <w:rsid w:val="004C3D6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139"/>
    <w:rsid w:val="00566445"/>
    <w:rsid w:val="00566D2C"/>
    <w:rsid w:val="005731F4"/>
    <w:rsid w:val="00573616"/>
    <w:rsid w:val="005759A2"/>
    <w:rsid w:val="00576820"/>
    <w:rsid w:val="0058588B"/>
    <w:rsid w:val="00586F17"/>
    <w:rsid w:val="0059146F"/>
    <w:rsid w:val="00591568"/>
    <w:rsid w:val="00592B81"/>
    <w:rsid w:val="00593957"/>
    <w:rsid w:val="005958C2"/>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5C4D"/>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464"/>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11A"/>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676"/>
    <w:rsid w:val="00701BAD"/>
    <w:rsid w:val="00704F55"/>
    <w:rsid w:val="00705477"/>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379F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C93"/>
    <w:rsid w:val="007656A6"/>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7782"/>
    <w:rsid w:val="007C095F"/>
    <w:rsid w:val="007C5546"/>
    <w:rsid w:val="007D392F"/>
    <w:rsid w:val="007D4384"/>
    <w:rsid w:val="007D56F6"/>
    <w:rsid w:val="007D6261"/>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1703"/>
    <w:rsid w:val="00862A45"/>
    <w:rsid w:val="00863C3C"/>
    <w:rsid w:val="00866280"/>
    <w:rsid w:val="00866E76"/>
    <w:rsid w:val="00866F16"/>
    <w:rsid w:val="0086799C"/>
    <w:rsid w:val="00870AEC"/>
    <w:rsid w:val="00872097"/>
    <w:rsid w:val="00875BEE"/>
    <w:rsid w:val="008768CA"/>
    <w:rsid w:val="00876971"/>
    <w:rsid w:val="00877813"/>
    <w:rsid w:val="00880559"/>
    <w:rsid w:val="008818E0"/>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1455"/>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502"/>
    <w:rsid w:val="009B6C3A"/>
    <w:rsid w:val="009B7671"/>
    <w:rsid w:val="009C01DA"/>
    <w:rsid w:val="009C2009"/>
    <w:rsid w:val="009C4014"/>
    <w:rsid w:val="009C55D0"/>
    <w:rsid w:val="009C55E8"/>
    <w:rsid w:val="009C5D10"/>
    <w:rsid w:val="009C67DB"/>
    <w:rsid w:val="009C7DAE"/>
    <w:rsid w:val="009D0FF6"/>
    <w:rsid w:val="009D30B7"/>
    <w:rsid w:val="009D6A10"/>
    <w:rsid w:val="009D73C0"/>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4FCD"/>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7741"/>
    <w:rsid w:val="00A77C20"/>
    <w:rsid w:val="00A81258"/>
    <w:rsid w:val="00A82346"/>
    <w:rsid w:val="00A82DDC"/>
    <w:rsid w:val="00A83F31"/>
    <w:rsid w:val="00A85310"/>
    <w:rsid w:val="00A85DCD"/>
    <w:rsid w:val="00A865A5"/>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D30B5"/>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26943"/>
    <w:rsid w:val="00B30390"/>
    <w:rsid w:val="00B31966"/>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43B6"/>
    <w:rsid w:val="00BA4DBE"/>
    <w:rsid w:val="00BA79DD"/>
    <w:rsid w:val="00BB05BD"/>
    <w:rsid w:val="00BB6341"/>
    <w:rsid w:val="00BC11EC"/>
    <w:rsid w:val="00BC1987"/>
    <w:rsid w:val="00BC434A"/>
    <w:rsid w:val="00BC43E3"/>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2285"/>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1AE1"/>
    <w:rsid w:val="00C22564"/>
    <w:rsid w:val="00C25F8E"/>
    <w:rsid w:val="00C2769B"/>
    <w:rsid w:val="00C30186"/>
    <w:rsid w:val="00C3238A"/>
    <w:rsid w:val="00C32F24"/>
    <w:rsid w:val="00C33079"/>
    <w:rsid w:val="00C3492F"/>
    <w:rsid w:val="00C34CF6"/>
    <w:rsid w:val="00C36A5F"/>
    <w:rsid w:val="00C3747A"/>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65DE"/>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B6D6F"/>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E490B"/>
    <w:rsid w:val="00CE7FC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29CC"/>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97AD3"/>
    <w:rsid w:val="00DA1BEA"/>
    <w:rsid w:val="00DA243A"/>
    <w:rsid w:val="00DA3072"/>
    <w:rsid w:val="00DA32E6"/>
    <w:rsid w:val="00DA4E17"/>
    <w:rsid w:val="00DA5797"/>
    <w:rsid w:val="00DA5FE4"/>
    <w:rsid w:val="00DA7A03"/>
    <w:rsid w:val="00DB1818"/>
    <w:rsid w:val="00DB254D"/>
    <w:rsid w:val="00DB7186"/>
    <w:rsid w:val="00DC0F26"/>
    <w:rsid w:val="00DC2754"/>
    <w:rsid w:val="00DC2DB6"/>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3642"/>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A68"/>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827"/>
    <w:rsid w:val="00E73933"/>
    <w:rsid w:val="00E7500D"/>
    <w:rsid w:val="00E758E2"/>
    <w:rsid w:val="00E77645"/>
    <w:rsid w:val="00E80B0B"/>
    <w:rsid w:val="00E8330F"/>
    <w:rsid w:val="00E838AA"/>
    <w:rsid w:val="00E86928"/>
    <w:rsid w:val="00E870CD"/>
    <w:rsid w:val="00E8740E"/>
    <w:rsid w:val="00E96E21"/>
    <w:rsid w:val="00EA0A4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2DF0"/>
    <w:rsid w:val="00ED3445"/>
    <w:rsid w:val="00ED39C3"/>
    <w:rsid w:val="00ED51B3"/>
    <w:rsid w:val="00ED7B26"/>
    <w:rsid w:val="00EE0635"/>
    <w:rsid w:val="00EE13A8"/>
    <w:rsid w:val="00EE1A73"/>
    <w:rsid w:val="00EE29AC"/>
    <w:rsid w:val="00EE2D28"/>
    <w:rsid w:val="00EE5B63"/>
    <w:rsid w:val="00EE6A05"/>
    <w:rsid w:val="00EE720A"/>
    <w:rsid w:val="00EF0D20"/>
    <w:rsid w:val="00EF115B"/>
    <w:rsid w:val="00EF4175"/>
    <w:rsid w:val="00EF4630"/>
    <w:rsid w:val="00EF5AC3"/>
    <w:rsid w:val="00EF628F"/>
    <w:rsid w:val="00EF7667"/>
    <w:rsid w:val="00F00780"/>
    <w:rsid w:val="00F025A2"/>
    <w:rsid w:val="00F02C75"/>
    <w:rsid w:val="00F03003"/>
    <w:rsid w:val="00F03C5A"/>
    <w:rsid w:val="00F0430E"/>
    <w:rsid w:val="00F076C8"/>
    <w:rsid w:val="00F127B7"/>
    <w:rsid w:val="00F13D6C"/>
    <w:rsid w:val="00F16632"/>
    <w:rsid w:val="00F17F82"/>
    <w:rsid w:val="00F2026E"/>
    <w:rsid w:val="00F21092"/>
    <w:rsid w:val="00F21F3E"/>
    <w:rsid w:val="00F2210A"/>
    <w:rsid w:val="00F22463"/>
    <w:rsid w:val="00F23E13"/>
    <w:rsid w:val="00F24153"/>
    <w:rsid w:val="00F31A73"/>
    <w:rsid w:val="00F3607B"/>
    <w:rsid w:val="00F37743"/>
    <w:rsid w:val="00F402FC"/>
    <w:rsid w:val="00F4160A"/>
    <w:rsid w:val="00F418AD"/>
    <w:rsid w:val="00F41BFB"/>
    <w:rsid w:val="00F41D6C"/>
    <w:rsid w:val="00F42AAA"/>
    <w:rsid w:val="00F42D7E"/>
    <w:rsid w:val="00F4454A"/>
    <w:rsid w:val="00F456C3"/>
    <w:rsid w:val="00F50F3A"/>
    <w:rsid w:val="00F54760"/>
    <w:rsid w:val="00F54A3D"/>
    <w:rsid w:val="00F556F6"/>
    <w:rsid w:val="00F56DDF"/>
    <w:rsid w:val="00F57E74"/>
    <w:rsid w:val="00F609E8"/>
    <w:rsid w:val="00F62A26"/>
    <w:rsid w:val="00F653B8"/>
    <w:rsid w:val="00F65FC0"/>
    <w:rsid w:val="00F703DE"/>
    <w:rsid w:val="00F70559"/>
    <w:rsid w:val="00F70A2C"/>
    <w:rsid w:val="00F76C5A"/>
    <w:rsid w:val="00F76F8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47ED"/>
    <w:rsid w:val="00FE6F9D"/>
    <w:rsid w:val="00FE724C"/>
    <w:rsid w:val="00FE7C6C"/>
    <w:rsid w:val="00FE7EAE"/>
    <w:rsid w:val="00FF158F"/>
    <w:rsid w:val="00FF1FB9"/>
    <w:rsid w:val="00FF327F"/>
    <w:rsid w:val="00FF3B5E"/>
    <w:rsid w:val="00FF3CA9"/>
    <w:rsid w:val="00FF3CF1"/>
    <w:rsid w:val="00FF40A9"/>
    <w:rsid w:val="00FF46A4"/>
    <w:rsid w:val="00FF4C45"/>
    <w:rsid w:val="00FF5009"/>
    <w:rsid w:val="00FF72B8"/>
    <w:rsid w:val="012ACD5C"/>
    <w:rsid w:val="0156BE86"/>
    <w:rsid w:val="02FA95A4"/>
    <w:rsid w:val="03D93D1E"/>
    <w:rsid w:val="041ED9CA"/>
    <w:rsid w:val="04600738"/>
    <w:rsid w:val="047BD2EF"/>
    <w:rsid w:val="04A028BE"/>
    <w:rsid w:val="058E8B7D"/>
    <w:rsid w:val="0634BF71"/>
    <w:rsid w:val="06E7D0C6"/>
    <w:rsid w:val="0728925A"/>
    <w:rsid w:val="07E37CCE"/>
    <w:rsid w:val="08C658BA"/>
    <w:rsid w:val="09C877D7"/>
    <w:rsid w:val="0A6CAF3C"/>
    <w:rsid w:val="0C707951"/>
    <w:rsid w:val="0C8B0117"/>
    <w:rsid w:val="0C9FB6B0"/>
    <w:rsid w:val="0DBF0D2A"/>
    <w:rsid w:val="0DCB662F"/>
    <w:rsid w:val="0E4D103D"/>
    <w:rsid w:val="0E7D0109"/>
    <w:rsid w:val="0EA1C778"/>
    <w:rsid w:val="0F665B03"/>
    <w:rsid w:val="10325869"/>
    <w:rsid w:val="1324289F"/>
    <w:rsid w:val="165E8DF1"/>
    <w:rsid w:val="18317A3E"/>
    <w:rsid w:val="186B9593"/>
    <w:rsid w:val="186BAA8A"/>
    <w:rsid w:val="18988234"/>
    <w:rsid w:val="18E984A5"/>
    <w:rsid w:val="19A12BEF"/>
    <w:rsid w:val="1A122197"/>
    <w:rsid w:val="1B556440"/>
    <w:rsid w:val="1B95A526"/>
    <w:rsid w:val="1C12670E"/>
    <w:rsid w:val="1C62AB02"/>
    <w:rsid w:val="1CB55E15"/>
    <w:rsid w:val="1CC77AF3"/>
    <w:rsid w:val="1CF67311"/>
    <w:rsid w:val="1D51D527"/>
    <w:rsid w:val="1DE887B4"/>
    <w:rsid w:val="1E1A08DF"/>
    <w:rsid w:val="1F63269F"/>
    <w:rsid w:val="1FD8F03A"/>
    <w:rsid w:val="1FEE8A3E"/>
    <w:rsid w:val="2124C759"/>
    <w:rsid w:val="2145885A"/>
    <w:rsid w:val="21A9715C"/>
    <w:rsid w:val="21E8D06E"/>
    <w:rsid w:val="221EA0F0"/>
    <w:rsid w:val="234A1905"/>
    <w:rsid w:val="23BBCCCD"/>
    <w:rsid w:val="2490184D"/>
    <w:rsid w:val="265644A5"/>
    <w:rsid w:val="27101B9A"/>
    <w:rsid w:val="2728E164"/>
    <w:rsid w:val="27E38AD1"/>
    <w:rsid w:val="287B55AA"/>
    <w:rsid w:val="28B4CEDB"/>
    <w:rsid w:val="28D2467F"/>
    <w:rsid w:val="28DC8EDE"/>
    <w:rsid w:val="296D6D72"/>
    <w:rsid w:val="2A146208"/>
    <w:rsid w:val="2AD450CC"/>
    <w:rsid w:val="2C729746"/>
    <w:rsid w:val="2D923933"/>
    <w:rsid w:val="2E17BF60"/>
    <w:rsid w:val="2E7BF0E6"/>
    <w:rsid w:val="2EF0B885"/>
    <w:rsid w:val="2F0681ED"/>
    <w:rsid w:val="308DB346"/>
    <w:rsid w:val="30C3ADBE"/>
    <w:rsid w:val="30D487A4"/>
    <w:rsid w:val="3193A5D1"/>
    <w:rsid w:val="3195C4BE"/>
    <w:rsid w:val="31B3F727"/>
    <w:rsid w:val="31F100A6"/>
    <w:rsid w:val="3289405E"/>
    <w:rsid w:val="32AC0EBB"/>
    <w:rsid w:val="32E888C4"/>
    <w:rsid w:val="335EBD28"/>
    <w:rsid w:val="3436CFA3"/>
    <w:rsid w:val="34569585"/>
    <w:rsid w:val="3499C4C8"/>
    <w:rsid w:val="35AD433B"/>
    <w:rsid w:val="36C66341"/>
    <w:rsid w:val="36FA7673"/>
    <w:rsid w:val="37264389"/>
    <w:rsid w:val="379046A7"/>
    <w:rsid w:val="381875DB"/>
    <w:rsid w:val="382D3EF6"/>
    <w:rsid w:val="389888FA"/>
    <w:rsid w:val="3999F278"/>
    <w:rsid w:val="3ABD860F"/>
    <w:rsid w:val="3B1C0D7D"/>
    <w:rsid w:val="3B404EAB"/>
    <w:rsid w:val="3B60F0FB"/>
    <w:rsid w:val="3BA392E3"/>
    <w:rsid w:val="3BACBE0E"/>
    <w:rsid w:val="3BBF148A"/>
    <w:rsid w:val="3BC44DBC"/>
    <w:rsid w:val="3C67558F"/>
    <w:rsid w:val="3D8468DF"/>
    <w:rsid w:val="3DE8F336"/>
    <w:rsid w:val="3F0F98EA"/>
    <w:rsid w:val="3FA0F41E"/>
    <w:rsid w:val="3FB33A68"/>
    <w:rsid w:val="400A98BB"/>
    <w:rsid w:val="4058A1F0"/>
    <w:rsid w:val="4113878F"/>
    <w:rsid w:val="42430CE4"/>
    <w:rsid w:val="49D48655"/>
    <w:rsid w:val="4A151596"/>
    <w:rsid w:val="4A2270FA"/>
    <w:rsid w:val="4A6B7769"/>
    <w:rsid w:val="4AE96682"/>
    <w:rsid w:val="4B2756DA"/>
    <w:rsid w:val="4B2B10C4"/>
    <w:rsid w:val="4B97838A"/>
    <w:rsid w:val="4CB38E06"/>
    <w:rsid w:val="4D4E58B4"/>
    <w:rsid w:val="4DFA2E82"/>
    <w:rsid w:val="4E6133C1"/>
    <w:rsid w:val="4E77CA90"/>
    <w:rsid w:val="4E7EBCD1"/>
    <w:rsid w:val="4EB4C8D8"/>
    <w:rsid w:val="4EF258A6"/>
    <w:rsid w:val="4F2992A2"/>
    <w:rsid w:val="4FBE7630"/>
    <w:rsid w:val="500E9D8A"/>
    <w:rsid w:val="50ABD296"/>
    <w:rsid w:val="50ECF700"/>
    <w:rsid w:val="51B65718"/>
    <w:rsid w:val="530F286F"/>
    <w:rsid w:val="536C7B6D"/>
    <w:rsid w:val="53E8EE69"/>
    <w:rsid w:val="5569FFCB"/>
    <w:rsid w:val="5630D254"/>
    <w:rsid w:val="565B2C31"/>
    <w:rsid w:val="5843955C"/>
    <w:rsid w:val="58A068C1"/>
    <w:rsid w:val="59C4DE7F"/>
    <w:rsid w:val="5A4EEB6D"/>
    <w:rsid w:val="5A866565"/>
    <w:rsid w:val="5B9D3363"/>
    <w:rsid w:val="5C7B5CB5"/>
    <w:rsid w:val="5D92CA84"/>
    <w:rsid w:val="5DA2BB1F"/>
    <w:rsid w:val="5DCA9CA7"/>
    <w:rsid w:val="5E8DCFD3"/>
    <w:rsid w:val="5EA4A640"/>
    <w:rsid w:val="5F0EF293"/>
    <w:rsid w:val="5FD990CC"/>
    <w:rsid w:val="60387A3F"/>
    <w:rsid w:val="604E4666"/>
    <w:rsid w:val="609A464A"/>
    <w:rsid w:val="610F3AD3"/>
    <w:rsid w:val="61DF73E8"/>
    <w:rsid w:val="623E4F3A"/>
    <w:rsid w:val="62717DC8"/>
    <w:rsid w:val="62770373"/>
    <w:rsid w:val="629B5247"/>
    <w:rsid w:val="63BA6ACF"/>
    <w:rsid w:val="63C12AF6"/>
    <w:rsid w:val="63DD605C"/>
    <w:rsid w:val="644D06A8"/>
    <w:rsid w:val="64859E48"/>
    <w:rsid w:val="652E0E45"/>
    <w:rsid w:val="663BBCD5"/>
    <w:rsid w:val="6697283B"/>
    <w:rsid w:val="6712E9E7"/>
    <w:rsid w:val="67784E96"/>
    <w:rsid w:val="67CFF9AB"/>
    <w:rsid w:val="681DB967"/>
    <w:rsid w:val="685A5D43"/>
    <w:rsid w:val="68B8006E"/>
    <w:rsid w:val="69867C2C"/>
    <w:rsid w:val="6AFDD5F5"/>
    <w:rsid w:val="6B3EC268"/>
    <w:rsid w:val="6B61E02C"/>
    <w:rsid w:val="6B9C048C"/>
    <w:rsid w:val="6BE24909"/>
    <w:rsid w:val="6CB22819"/>
    <w:rsid w:val="6D184F7F"/>
    <w:rsid w:val="6D48EF01"/>
    <w:rsid w:val="6D74EE8F"/>
    <w:rsid w:val="6D931B2E"/>
    <w:rsid w:val="6E08E4C9"/>
    <w:rsid w:val="6E14FD39"/>
    <w:rsid w:val="6E81DD73"/>
    <w:rsid w:val="6F055D95"/>
    <w:rsid w:val="6F6C5478"/>
    <w:rsid w:val="6FBBADA8"/>
    <w:rsid w:val="70C5E69D"/>
    <w:rsid w:val="71F80C76"/>
    <w:rsid w:val="7260D368"/>
    <w:rsid w:val="7267D840"/>
    <w:rsid w:val="72B3FD02"/>
    <w:rsid w:val="741896E7"/>
    <w:rsid w:val="74224C38"/>
    <w:rsid w:val="74251D74"/>
    <w:rsid w:val="75505C48"/>
    <w:rsid w:val="755DFBDA"/>
    <w:rsid w:val="75BD0CAD"/>
    <w:rsid w:val="76D7DA94"/>
    <w:rsid w:val="771CF246"/>
    <w:rsid w:val="7894B96F"/>
    <w:rsid w:val="78DC24C4"/>
    <w:rsid w:val="79200BC7"/>
    <w:rsid w:val="7961E4F1"/>
    <w:rsid w:val="7A5A5067"/>
    <w:rsid w:val="7A93CF4D"/>
    <w:rsid w:val="7B2605BF"/>
    <w:rsid w:val="7B8C0EAD"/>
    <w:rsid w:val="7B95478A"/>
    <w:rsid w:val="7BE6B843"/>
    <w:rsid w:val="7C35B5CA"/>
    <w:rsid w:val="7C8CD4FA"/>
    <w:rsid w:val="7CCEC73D"/>
    <w:rsid w:val="7E428FC7"/>
    <w:rsid w:val="7E9B972F"/>
  </w:rsids>
  <m:mathPr>
    <m:mathFont m:val="Cambria Math"/>
    <m:brkBin m:val="before"/>
    <m:brkBinSub m:val="--"/>
    <m:smallFrac m:val="0"/>
    <m:dispDef/>
    <m:lMargin m:val="0"/>
    <m:rMargin m:val="0"/>
    <m:defJc m:val="centerGroup"/>
    <m:wrapIndent m:val="1440"/>
    <m:intLim m:val="subSup"/>
    <m:naryLim m:val="undOvr"/>
  </m:mathPr>
  <w:themeFontLang w:val="pl-PL"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172BAE"/>
  <w15:docId w15:val="{676D06F5-E153-4BDE-931C-A09379F75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unhideWhenUsed="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unhideWhenUsed/>
    <w:qFormat/>
    <w:rPr>
      <w:b/>
      <w:bCs/>
    </w:rPr>
  </w:style>
  <w:style w:type="paragraph" w:styleId="ListBullet">
    <w:name w:val="List Bullet"/>
    <w:basedOn w:val="List"/>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pPr>
      <w:ind w:left="200" w:hangingChars="200" w:hanging="200"/>
      <w:contextualSpacing/>
    </w:p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paragraph" w:styleId="NormalWeb">
    <w:name w:val="Normal (Web)"/>
    <w:basedOn w:val="Normal"/>
    <w:uiPriority w:val="99"/>
    <w:unhideWhenUsed/>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link w:val="Header"/>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Heading1Char">
    <w:name w:val="Heading 1 Char"/>
    <w:link w:val="Heading1"/>
    <w:qFormat/>
    <w:rPr>
      <w:rFonts w:ascii="Arial" w:hAnsi="Arial"/>
      <w:sz w:val="36"/>
      <w:lang w:val="en-GB"/>
    </w:rPr>
  </w:style>
  <w:style w:type="character" w:customStyle="1" w:styleId="Heading2Char">
    <w:name w:val="Heading 2 Char"/>
    <w:link w:val="Heading2"/>
    <w:rPr>
      <w:rFonts w:ascii="Arial" w:hAnsi="Arial"/>
      <w:sz w:val="32"/>
      <w:lang w:val="en-GB"/>
    </w:rPr>
  </w:style>
  <w:style w:type="character" w:customStyle="1" w:styleId="CommentTextChar">
    <w:name w:val="Comment Text Char"/>
    <w:link w:val="CommentText"/>
    <w:rPr>
      <w:lang w:val="en-GB"/>
    </w:rPr>
  </w:style>
  <w:style w:type="character" w:customStyle="1" w:styleId="CommentSubjectChar">
    <w:name w:val="Comment Subject Char"/>
    <w:link w:val="CommentSubject"/>
    <w:rPr>
      <w:b/>
      <w:bCs/>
      <w:lang w:val="en-GB"/>
    </w:rPr>
  </w:style>
  <w:style w:type="character" w:customStyle="1" w:styleId="BalloonTextChar">
    <w:name w:val="Balloon Text Char"/>
    <w:link w:val="BalloonText"/>
    <w:rPr>
      <w:rFonts w:ascii="Segoe UI" w:hAnsi="Segoe UI" w:cs="Segoe UI"/>
      <w:sz w:val="18"/>
      <w:szCs w:val="18"/>
      <w:lang w:val="en-GB"/>
    </w:rPr>
  </w:style>
  <w:style w:type="character" w:customStyle="1" w:styleId="TFChar">
    <w:name w:val="TF Char"/>
    <w:link w:val="TF"/>
    <w:rPr>
      <w:rFonts w:ascii="Arial" w:hAnsi="Arial"/>
      <w:b/>
      <w:lang w:val="en-GB"/>
    </w:rPr>
  </w:style>
  <w:style w:type="character" w:customStyle="1" w:styleId="B1Zchn">
    <w:name w:val="B1 Zchn"/>
    <w:link w:val="B1"/>
    <w:locked/>
    <w:rPr>
      <w:lang w:val="en-GB" w:eastAsia="en-US"/>
    </w:rPr>
  </w:style>
  <w:style w:type="character" w:customStyle="1" w:styleId="THChar">
    <w:name w:val="TH Char"/>
    <w:link w:val="TH"/>
    <w:rPr>
      <w:rFonts w:ascii="Arial" w:hAnsi="Arial"/>
      <w:b/>
      <w:lang w:val="en-GB" w:eastAsia="en-US"/>
    </w:rPr>
  </w:style>
  <w:style w:type="character" w:customStyle="1" w:styleId="EditorsNoteChar">
    <w:name w:val="Editor's Note Char"/>
    <w:link w:val="EditorsNote"/>
    <w:qFormat/>
    <w:rPr>
      <w:color w:val="FF0000"/>
      <w:lang w:val="en-GB" w:eastAsia="en-US"/>
    </w:rPr>
  </w:style>
  <w:style w:type="character" w:customStyle="1" w:styleId="Heading3Char">
    <w:name w:val="Heading 3 Char"/>
    <w:link w:val="Heading3"/>
    <w:rPr>
      <w:rFonts w:ascii="Arial" w:hAnsi="Arial"/>
      <w:sz w:val="28"/>
      <w:lang w:val="en-GB" w:eastAsia="en-US"/>
    </w:rPr>
  </w:style>
  <w:style w:type="character" w:customStyle="1" w:styleId="normaltextrun">
    <w:name w:val="normaltextrun"/>
  </w:style>
  <w:style w:type="character" w:customStyle="1" w:styleId="eop">
    <w:name w:val="eop"/>
    <w:qFormat/>
  </w:style>
  <w:style w:type="paragraph" w:styleId="ListParagraph">
    <w:name w:val="List Paragraph"/>
    <w:basedOn w:val="Normal"/>
    <w:uiPriority w:val="34"/>
    <w:qFormat/>
    <w:pPr>
      <w:ind w:left="720"/>
      <w:contextualSpacing/>
    </w:pPr>
    <w:rPr>
      <w:rFonts w:eastAsia="Times New Roman"/>
      <w:szCs w:val="24"/>
      <w:lang w:val="en-US"/>
    </w:rPr>
  </w:style>
  <w:style w:type="character" w:customStyle="1" w:styleId="TALChar">
    <w:name w:val="TAL Char"/>
    <w:link w:val="TAL"/>
    <w:qFormat/>
    <w:rPr>
      <w:rFonts w:ascii="Arial" w:hAnsi="Arial"/>
      <w:sz w:val="18"/>
      <w:lang w:val="en-GB"/>
    </w:rPr>
  </w:style>
  <w:style w:type="character" w:customStyle="1" w:styleId="TAHCar">
    <w:name w:val="TAH Car"/>
    <w:link w:val="TAH"/>
    <w:qFormat/>
    <w:locked/>
    <w:rPr>
      <w:rFonts w:ascii="Arial" w:hAnsi="Arial"/>
      <w:b/>
      <w:sz w:val="18"/>
      <w:lang w:val="en-GB"/>
    </w:rPr>
  </w:style>
  <w:style w:type="paragraph" w:customStyle="1" w:styleId="Revision1">
    <w:name w:val="Revision1"/>
    <w:hidden/>
    <w:uiPriority w:val="99"/>
    <w:semiHidden/>
    <w:qFormat/>
    <w:rPr>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Pr>
      <w:rFonts w:ascii="Arial" w:eastAsia="MS Mincho" w:hAnsi="Arial"/>
      <w:lang w:val="en-GB"/>
    </w:rPr>
  </w:style>
  <w:style w:type="paragraph" w:customStyle="1" w:styleId="paragraph">
    <w:name w:val="paragraph"/>
    <w:basedOn w:val="Normal"/>
    <w:qFormat/>
    <w:pPr>
      <w:spacing w:after="0"/>
    </w:pPr>
    <w:rPr>
      <w:rFonts w:eastAsia="Times New Roman"/>
      <w:sz w:val="24"/>
      <w:szCs w:val="24"/>
      <w:lang w:val="fi-FI" w:eastAsia="fi-FI"/>
    </w:rPr>
  </w:style>
  <w:style w:type="character" w:customStyle="1" w:styleId="spellingerror">
    <w:name w:val="spellingerror"/>
    <w:qFormat/>
  </w:style>
  <w:style w:type="character" w:customStyle="1" w:styleId="contextualspellingandgrammarerror">
    <w:name w:val="contextualspellingandgrammarerror"/>
    <w:qFormat/>
  </w:style>
  <w:style w:type="character" w:customStyle="1" w:styleId="normaltextrun1">
    <w:name w:val="normaltextrun1"/>
    <w:qFormat/>
  </w:style>
  <w:style w:type="character" w:customStyle="1" w:styleId="Heading4Char">
    <w:name w:val="Heading 4 Char"/>
    <w:basedOn w:val="DefaultParagraphFont"/>
    <w:link w:val="Heading4"/>
    <w:qFormat/>
    <w:rPr>
      <w:rFonts w:ascii="Arial" w:hAnsi="Arial"/>
      <w:sz w:val="24"/>
      <w:lang w:val="en-GB" w:eastAsia="en-US"/>
    </w:rPr>
  </w:style>
  <w:style w:type="paragraph" w:customStyle="1" w:styleId="StyleListParagraph10pt">
    <w:name w:val="Style List Paragraph + 10 pt"/>
    <w:basedOn w:val="ListParagraph"/>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7.xml><?xml version="1.0" encoding="utf-8"?>
<LongProperties xmlns="http://schemas.microsoft.com/office/2006/metadata/longProperti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4.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8.xml><?xml version="1.0" encoding="utf-8"?>
<ds:datastoreItem xmlns:ds="http://schemas.openxmlformats.org/officeDocument/2006/customXml" ds:itemID="{FF1838FD-7800-43E3-98D7-E2F9FAE1D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30</TotalTime>
  <Pages>4</Pages>
  <Words>1131</Words>
  <Characters>6787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Summary of the email discussion #18 on avoiding simultaneous CHO and CPC configuration in the UE</vt:lpstr>
    </vt:vector>
  </TitlesOfParts>
  <Company>Nokia, Nokia Shanghai Bell</Company>
  <LinksUpToDate>false</LinksUpToDate>
  <CharactersWithSpaces>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the email discussion #18 on avoiding simultaneous CHO and CPC configuration in the UE</dc:title>
  <dc:subject>3GPP RAN3 #107-bis-e</dc:subject>
  <dc:creator>Benoist Sébire</dc:creator>
  <cp:keywords>&lt;keyword[, keyword, ]&gt;, CTPClassification=CTP_NT</cp:keywords>
  <cp:lastModifiedBy>Nokia</cp:lastModifiedBy>
  <cp:revision>10</cp:revision>
  <cp:lastPrinted>2019-03-27T07:16:00Z</cp:lastPrinted>
  <dcterms:created xsi:type="dcterms:W3CDTF">2020-04-22T22:05:00Z</dcterms:created>
  <dcterms:modified xsi:type="dcterms:W3CDTF">2020-04-28T20:03:00Z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y fmtid="{D5CDD505-2E9C-101B-9397-08002B2CF9AE}" pid="6" name="TitusGUID">
    <vt:lpwstr>b1ce046d-7af4-45a2-8b41-9c3c3eceab40</vt:lpwstr>
  </property>
  <property fmtid="{D5CDD505-2E9C-101B-9397-08002B2CF9AE}" pid="7" name="CTP_TimeStamp">
    <vt:lpwstr>2020-04-21 13:54:14Z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2052-11.8.2.8621</vt:lpwstr>
  </property>
</Properties>
</file>